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48" w:lineRule="auto"/>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岳阳市公安局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017001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w:t>
      </w:r>
      <w:r>
        <w:rPr>
          <w:rFonts w:hint="eastAsia" w:eastAsia="仿宋_GB2312"/>
          <w:sz w:val="32"/>
          <w:lang w:val="en-US" w:eastAsia="zh-CN"/>
        </w:rPr>
        <w:t>2</w:t>
      </w:r>
      <w:r>
        <w:rPr>
          <w:rFonts w:hint="eastAsia" w:eastAsia="仿宋_GB2312"/>
          <w:sz w:val="32"/>
        </w:rPr>
        <w:t>年 6</w:t>
      </w:r>
      <w:r>
        <w:rPr>
          <w:rFonts w:hint="eastAsia" w:eastAsia="仿宋_GB2312"/>
          <w:sz w:val="32"/>
          <w:lang w:val="en-US" w:eastAsia="zh-CN"/>
        </w:rPr>
        <w:t xml:space="preserve"> </w:t>
      </w:r>
      <w:r>
        <w:rPr>
          <w:rFonts w:hint="eastAsia" w:eastAsia="仿宋_GB2312"/>
          <w:sz w:val="32"/>
        </w:rPr>
        <w:t xml:space="preserve">月 </w:t>
      </w:r>
      <w:r>
        <w:rPr>
          <w:rFonts w:eastAsia="仿宋_GB2312"/>
          <w:sz w:val="32"/>
          <w:lang w:val="en"/>
        </w:rPr>
        <w:t>15</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38"/>
        <w:gridCol w:w="203"/>
        <w:gridCol w:w="213"/>
        <w:gridCol w:w="109"/>
        <w:gridCol w:w="800"/>
        <w:gridCol w:w="12"/>
        <w:gridCol w:w="444"/>
        <w:gridCol w:w="731"/>
        <w:gridCol w:w="363"/>
        <w:gridCol w:w="22"/>
        <w:gridCol w:w="272"/>
        <w:gridCol w:w="643"/>
        <w:gridCol w:w="500"/>
        <w:gridCol w:w="169"/>
        <w:gridCol w:w="144"/>
        <w:gridCol w:w="575"/>
        <w:gridCol w:w="256"/>
        <w:gridCol w:w="435"/>
        <w:gridCol w:w="521"/>
        <w:gridCol w:w="25"/>
        <w:gridCol w:w="88"/>
        <w:gridCol w:w="957"/>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96"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 w:eastAsia="zh-CN"/>
              </w:rPr>
            </w:pPr>
            <w:r>
              <w:rPr>
                <w:rFonts w:hint="eastAsia" w:ascii="仿宋_GB2312" w:hAnsi="仿宋_GB2312" w:eastAsia="仿宋_GB2312" w:cs="仿宋_GB2312"/>
                <w:color w:val="000000"/>
                <w:sz w:val="24"/>
                <w:lang w:val="en" w:eastAsia="zh-CN"/>
              </w:rPr>
              <w:t>陈姿伶</w:t>
            </w:r>
          </w:p>
        </w:tc>
        <w:tc>
          <w:tcPr>
            <w:tcW w:w="114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8619</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96"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w:t>
            </w:r>
            <w:r>
              <w:rPr>
                <w:rFonts w:hint="eastAsia" w:ascii="仿宋_GB2312" w:hAnsi="仿宋_GB2312" w:eastAsia="仿宋_GB2312" w:cs="仿宋_GB2312"/>
                <w:color w:val="000000"/>
                <w:sz w:val="24"/>
                <w:lang w:val="en-US" w:eastAsia="zh-CN"/>
              </w:rPr>
              <w:t>95</w:t>
            </w:r>
          </w:p>
        </w:tc>
        <w:tc>
          <w:tcPr>
            <w:tcW w:w="114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w:t>
            </w: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6"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21"/>
            <w:vAlign w:val="center"/>
          </w:tcPr>
          <w:p>
            <w:pPr>
              <w:autoSpaceDN w:val="0"/>
              <w:spacing w:line="360" w:lineRule="auto"/>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 w:eastAsia="仿宋_GB2312" w:cs="仿宋_GB2312"/>
                <w:color w:val="000000"/>
                <w:sz w:val="24"/>
                <w:szCs w:val="24"/>
              </w:rPr>
              <w:t>预防、制止和侦查违法犯罪活动；维护社会治安秩序，制止危害社会治安秩序的行为；维护交通安全和交通秩序，处理交通事故；组织、实施消防工作，实行消防监督；管理枪支弹药、管制刀具和易燃易爆、剧毒、放射等危险物品；对法律、法规制定的特种行业进行管理；警卫国家规定的特定人员，守卫重要的场所和设施；管理集会、游行、示威活动；管理户政、国籍、入境出境事务和外国人在中国境内居留、旅行的有关事务；维护国（边）境地区的治安秩序；对被判处管制、拘役、剥夺政治权利的罪犯和监外执行的罪犯执行刑罚，对被宣告缓刑、假释的罪犯实行监督、考察；监督管理计算机信息系统的安全保护工作；指导和监督国家机关、社会团体、企业事业组织和重点建设工程的治安保卫工作，指导治安保卫委员会等群众性组织的治安防范工作；指导、监督全市公安机关开展禁毒、缉毒工作，承担市禁毒委员会办公室的日常工作</w:t>
            </w:r>
            <w:r>
              <w:rPr>
                <w:rFonts w:hint="eastAsia" w:ascii="仿宋_GB2312" w:hAnsi="仿宋" w:eastAsia="仿宋_GB2312" w:cs="仿宋_GB2312"/>
                <w:color w:val="000000"/>
                <w:sz w:val="24"/>
                <w:szCs w:val="24"/>
                <w:lang w:eastAsia="zh-CN"/>
              </w:rPr>
              <w:t>；履行</w:t>
            </w:r>
            <w:r>
              <w:rPr>
                <w:rFonts w:hint="eastAsia" w:ascii="仿宋_GB2312" w:hAnsi="仿宋" w:eastAsia="仿宋_GB2312" w:cs="仿宋_GB2312"/>
                <w:color w:val="000000"/>
                <w:sz w:val="24"/>
                <w:szCs w:val="24"/>
              </w:rPr>
              <w:t xml:space="preserve">法律、法规规定的其他职责 </w:t>
            </w:r>
            <w:r>
              <w:rPr>
                <w:rFonts w:hint="eastAsia" w:ascii="仿宋_GB2312" w:hAnsi="仿宋"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8"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21"/>
            <w:vAlign w:val="center"/>
          </w:tcPr>
          <w:p>
            <w:pPr>
              <w:autoSpaceDN w:val="0"/>
              <w:spacing w:line="360" w:lineRule="auto"/>
              <w:ind w:firstLine="480" w:firstLineChars="200"/>
              <w:jc w:val="left"/>
              <w:textAlignment w:val="center"/>
              <w:rPr>
                <w:rFonts w:hint="eastAsia" w:ascii="仿宋_GB2312" w:hAnsi="仿宋" w:eastAsia="仿宋_GB2312" w:cs="仿宋_GB2312"/>
                <w:color w:val="000000"/>
                <w:sz w:val="24"/>
                <w:szCs w:val="24"/>
              </w:rPr>
            </w:pPr>
          </w:p>
          <w:p>
            <w:pPr>
              <w:autoSpaceDN w:val="0"/>
              <w:spacing w:line="360" w:lineRule="auto"/>
              <w:ind w:firstLine="480" w:firstLineChars="200"/>
              <w:jc w:val="left"/>
              <w:textAlignment w:val="center"/>
              <w:rPr>
                <w:rFonts w:hint="eastAsia" w:ascii="仿宋_GB2312" w:hAnsi="仿宋" w:eastAsia="仿宋_GB2312" w:cs="仿宋_GB2312"/>
                <w:color w:val="000000"/>
                <w:sz w:val="24"/>
                <w:szCs w:val="24"/>
                <w:lang w:eastAsia="zh-CN"/>
              </w:rPr>
            </w:pPr>
            <w:r>
              <w:rPr>
                <w:rFonts w:hint="eastAsia" w:ascii="仿宋_GB2312" w:hAnsi="仿宋" w:eastAsia="仿宋_GB2312" w:cs="仿宋_GB2312"/>
                <w:color w:val="000000"/>
                <w:sz w:val="24"/>
                <w:szCs w:val="24"/>
              </w:rPr>
              <w:t>防范政治风险，维护政治安全；</w:t>
            </w:r>
            <w:r>
              <w:rPr>
                <w:rFonts w:hint="eastAsia" w:ascii="仿宋_GB2312" w:hAnsi="仿宋" w:eastAsia="仿宋_GB2312" w:cs="仿宋_GB2312"/>
                <w:color w:val="000000"/>
                <w:sz w:val="24"/>
                <w:szCs w:val="24"/>
                <w:lang w:eastAsia="zh-CN"/>
              </w:rPr>
              <w:t>化解信访积案，确保社会稳定；集中打击</w:t>
            </w:r>
            <w:r>
              <w:rPr>
                <w:rFonts w:hint="eastAsia" w:ascii="仿宋_GB2312" w:hAnsi="仿宋" w:eastAsia="仿宋_GB2312" w:cs="仿宋_GB2312"/>
                <w:color w:val="000000"/>
                <w:sz w:val="24"/>
                <w:szCs w:val="24"/>
              </w:rPr>
              <w:t>涉毒、盗抢、电信诈骗、涉黄涉赌、</w:t>
            </w:r>
            <w:r>
              <w:rPr>
                <w:rFonts w:hint="eastAsia" w:ascii="仿宋_GB2312" w:hAnsi="仿宋" w:eastAsia="仿宋_GB2312" w:cs="仿宋_GB2312"/>
                <w:color w:val="000000"/>
                <w:sz w:val="24"/>
                <w:szCs w:val="24"/>
                <w:lang w:eastAsia="zh-CN"/>
              </w:rPr>
              <w:t>“食药环”等违法犯罪，常态化</w:t>
            </w:r>
            <w:r>
              <w:rPr>
                <w:rFonts w:hint="eastAsia" w:ascii="仿宋_GB2312" w:hAnsi="仿宋" w:eastAsia="仿宋_GB2312" w:cs="仿宋_GB2312"/>
                <w:color w:val="000000"/>
                <w:sz w:val="24"/>
                <w:szCs w:val="24"/>
              </w:rPr>
              <w:t>开展扫黑除恶斗争</w:t>
            </w:r>
            <w:r>
              <w:rPr>
                <w:rFonts w:hint="eastAsia" w:ascii="仿宋_GB2312" w:hAnsi="仿宋" w:eastAsia="仿宋_GB2312" w:cs="仿宋_GB2312"/>
                <w:color w:val="000000"/>
                <w:sz w:val="24"/>
                <w:szCs w:val="24"/>
                <w:lang w:eastAsia="zh-CN"/>
              </w:rPr>
              <w:t>；全力做好疫情联防联控和流调溯源等工作；有序推进法治公安建设和基层基础建设。</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3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21"/>
            <w:vAlign w:val="center"/>
          </w:tcPr>
          <w:p>
            <w:pPr>
              <w:autoSpaceDN w:val="0"/>
              <w:spacing w:line="360" w:lineRule="auto"/>
              <w:ind w:firstLine="240" w:firstLineChars="100"/>
              <w:jc w:val="left"/>
              <w:textAlignment w:val="center"/>
              <w:rPr>
                <w:rFonts w:hint="eastAsia" w:ascii="仿宋" w:hAnsi="仿宋" w:eastAsia="仿宋" w:cs="仿宋_GB2312"/>
                <w:color w:val="FF0000"/>
                <w:sz w:val="24"/>
                <w:lang w:eastAsia="zh-CN"/>
              </w:rPr>
            </w:pPr>
            <w:r>
              <w:rPr>
                <w:rFonts w:hint="eastAsia" w:ascii="仿宋" w:hAnsi="仿宋" w:eastAsia="仿宋" w:cs="仿宋_GB2312"/>
                <w:color w:val="auto"/>
                <w:sz w:val="24"/>
              </w:rPr>
              <w:t>1.</w:t>
            </w:r>
            <w:r>
              <w:rPr>
                <w:rFonts w:hint="eastAsia" w:ascii="仿宋" w:hAnsi="仿宋" w:eastAsia="仿宋" w:cs="仿宋_GB2312"/>
                <w:color w:val="auto"/>
                <w:sz w:val="24"/>
                <w:lang w:eastAsia="zh-CN"/>
              </w:rPr>
              <w:t>高效率化解公安部交办信访积案，维护社会稳定，探索推进信访、维稳等机制有机融合；</w:t>
            </w:r>
          </w:p>
          <w:p>
            <w:pPr>
              <w:autoSpaceDN w:val="0"/>
              <w:spacing w:line="360" w:lineRule="auto"/>
              <w:ind w:firstLine="240" w:firstLineChars="100"/>
              <w:jc w:val="left"/>
              <w:textAlignment w:val="center"/>
              <w:rPr>
                <w:rFonts w:ascii="仿宋" w:hAnsi="仿宋" w:eastAsia="仿宋" w:cs="仿宋_GB2312"/>
                <w:color w:val="auto"/>
                <w:sz w:val="24"/>
              </w:rPr>
            </w:pPr>
            <w:r>
              <w:rPr>
                <w:rFonts w:hint="eastAsia" w:ascii="仿宋" w:hAnsi="仿宋" w:eastAsia="仿宋" w:cs="仿宋_GB2312"/>
                <w:color w:val="auto"/>
                <w:sz w:val="24"/>
              </w:rPr>
              <w:t>2.</w:t>
            </w:r>
            <w:r>
              <w:rPr>
                <w:rFonts w:hint="eastAsia" w:ascii="仿宋" w:hAnsi="仿宋" w:eastAsia="仿宋" w:cs="仿宋_GB2312"/>
                <w:color w:val="auto"/>
                <w:sz w:val="24"/>
                <w:lang w:eastAsia="zh-CN"/>
              </w:rPr>
              <w:t>打击“盗抢骗”、“黄赌毒”、“食药环”等违法犯罪，</w:t>
            </w:r>
            <w:r>
              <w:rPr>
                <w:rFonts w:hint="eastAsia" w:ascii="仿宋_GB2312" w:hAnsi="仿宋" w:eastAsia="仿宋_GB2312" w:cs="仿宋_GB2312"/>
                <w:color w:val="000000"/>
                <w:sz w:val="24"/>
                <w:szCs w:val="24"/>
                <w:lang w:eastAsia="zh-CN"/>
              </w:rPr>
              <w:t>常态化</w:t>
            </w:r>
            <w:r>
              <w:rPr>
                <w:rFonts w:hint="eastAsia" w:ascii="仿宋_GB2312" w:hAnsi="仿宋" w:eastAsia="仿宋_GB2312" w:cs="仿宋_GB2312"/>
                <w:color w:val="000000"/>
                <w:sz w:val="24"/>
                <w:szCs w:val="24"/>
              </w:rPr>
              <w:t>开展扫黑除恶斗争</w:t>
            </w:r>
            <w:r>
              <w:rPr>
                <w:rFonts w:hint="eastAsia" w:ascii="仿宋" w:hAnsi="仿宋" w:eastAsia="仿宋" w:cs="仿宋_GB2312"/>
                <w:color w:val="000000"/>
                <w:sz w:val="24"/>
              </w:rPr>
              <w:t>成效明显，</w:t>
            </w:r>
            <w:r>
              <w:rPr>
                <w:rFonts w:hint="eastAsia" w:ascii="仿宋" w:hAnsi="仿宋" w:eastAsia="仿宋" w:cs="仿宋_GB2312"/>
                <w:color w:val="000000"/>
                <w:sz w:val="24"/>
                <w:lang w:eastAsia="zh-CN"/>
              </w:rPr>
              <w:t>取得良好社会效益</w:t>
            </w:r>
            <w:r>
              <w:rPr>
                <w:rFonts w:hint="eastAsia" w:ascii="仿宋" w:hAnsi="仿宋" w:eastAsia="仿宋" w:cs="仿宋_GB2312"/>
                <w:color w:val="auto"/>
                <w:sz w:val="24"/>
              </w:rPr>
              <w:t>；</w:t>
            </w:r>
          </w:p>
          <w:p>
            <w:pPr>
              <w:autoSpaceDN w:val="0"/>
              <w:spacing w:line="360" w:lineRule="auto"/>
              <w:ind w:firstLine="240" w:firstLineChars="100"/>
              <w:jc w:val="left"/>
              <w:textAlignment w:val="center"/>
              <w:rPr>
                <w:rFonts w:ascii="仿宋" w:hAnsi="仿宋" w:eastAsia="仿宋" w:cs="仿宋_GB2312"/>
                <w:color w:val="auto"/>
                <w:sz w:val="24"/>
              </w:rPr>
            </w:pPr>
            <w:r>
              <w:rPr>
                <w:rFonts w:hint="eastAsia" w:ascii="仿宋" w:hAnsi="仿宋" w:eastAsia="仿宋" w:cs="仿宋_GB2312"/>
                <w:color w:val="auto"/>
                <w:sz w:val="24"/>
              </w:rPr>
              <w:t>3.</w:t>
            </w:r>
            <w:r>
              <w:rPr>
                <w:rFonts w:hint="eastAsia" w:ascii="仿宋" w:hAnsi="仿宋" w:eastAsia="仿宋" w:cs="仿宋_GB2312"/>
                <w:color w:val="auto"/>
                <w:sz w:val="24"/>
                <w:lang w:eastAsia="zh-CN"/>
              </w:rPr>
              <w:t>人民安全感、满意度提升，岳阳市</w:t>
            </w:r>
            <w:r>
              <w:rPr>
                <w:rFonts w:hint="eastAsia" w:ascii="仿宋" w:hAnsi="仿宋" w:eastAsia="仿宋" w:cs="仿宋_GB2312"/>
                <w:color w:val="auto"/>
                <w:sz w:val="24"/>
              </w:rPr>
              <w:t>公安</w:t>
            </w:r>
            <w:r>
              <w:rPr>
                <w:rFonts w:hint="eastAsia" w:ascii="仿宋" w:hAnsi="仿宋" w:eastAsia="仿宋" w:cs="仿宋_GB2312"/>
                <w:color w:val="auto"/>
                <w:sz w:val="24"/>
                <w:lang w:eastAsia="zh-CN"/>
              </w:rPr>
              <w:t>警务评议在全省综合排名第二，人民群众对社会治安和公安队伍评价分别达到</w:t>
            </w:r>
            <w:r>
              <w:rPr>
                <w:rFonts w:hint="eastAsia" w:ascii="仿宋" w:hAnsi="仿宋" w:eastAsia="仿宋" w:cs="仿宋_GB2312"/>
                <w:color w:val="auto"/>
                <w:sz w:val="24"/>
                <w:lang w:val="en-US" w:eastAsia="zh-CN"/>
              </w:rPr>
              <w:t>94.33分、90.83分；</w:t>
            </w:r>
          </w:p>
          <w:p>
            <w:pPr>
              <w:autoSpaceDN w:val="0"/>
              <w:spacing w:line="360" w:lineRule="auto"/>
              <w:ind w:firstLine="240" w:firstLineChars="100"/>
              <w:jc w:val="left"/>
              <w:textAlignment w:val="center"/>
              <w:rPr>
                <w:rFonts w:ascii="仿宋_GB2312" w:hAnsi="仿宋_GB2312" w:eastAsia="仿宋" w:cs="仿宋_GB2312"/>
                <w:color w:val="000000"/>
                <w:sz w:val="24"/>
              </w:rPr>
            </w:pPr>
            <w:r>
              <w:rPr>
                <w:rFonts w:hint="eastAsia" w:ascii="仿宋" w:hAnsi="仿宋" w:eastAsia="仿宋" w:cs="仿宋_GB2312"/>
                <w:color w:val="auto"/>
                <w:sz w:val="24"/>
              </w:rPr>
              <w:t>4.</w:t>
            </w:r>
            <w:bookmarkStart w:id="0" w:name="_GoBack"/>
            <w:r>
              <w:rPr>
                <w:rFonts w:hint="eastAsia" w:ascii="仿宋" w:hAnsi="仿宋" w:eastAsia="仿宋" w:cs="仿宋_GB2312"/>
                <w:color w:val="auto"/>
                <w:sz w:val="24"/>
              </w:rPr>
              <w:t>深入开展公安信息化和基层基础建设、执法规范化和公安队伍建设等重点工作,确保了全市大局稳定,有力推进了平安岳阳、法治岳阳建设。</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65" w:type="dxa"/>
            <w:gridSpan w:val="4"/>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81" w:type="dxa"/>
            <w:gridSpan w:val="17"/>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6"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8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71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28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36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51025.83</w:t>
            </w:r>
          </w:p>
        </w:tc>
        <w:tc>
          <w:tcPr>
            <w:tcW w:w="1116"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11507.68</w:t>
            </w:r>
          </w:p>
        </w:tc>
        <w:tc>
          <w:tcPr>
            <w:tcW w:w="1584"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38964.50</w:t>
            </w:r>
          </w:p>
        </w:tc>
        <w:tc>
          <w:tcPr>
            <w:tcW w:w="71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282"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37" w:type="dxa"/>
            <w:gridSpan w:val="5"/>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75" w:type="dxa"/>
            <w:gridSpan w:val="13"/>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50"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continue"/>
            <w:vAlign w:val="center"/>
          </w:tcPr>
          <w:p>
            <w:pPr>
              <w:spacing w:line="320" w:lineRule="exact"/>
              <w:jc w:val="center"/>
              <w:rPr>
                <w:rFonts w:ascii="仿宋_GB2312" w:hAnsi="仿宋_GB2312" w:eastAsia="仿宋_GB2312" w:cs="仿宋_GB2312"/>
                <w:sz w:val="24"/>
              </w:rPr>
            </w:pPr>
          </w:p>
        </w:tc>
        <w:tc>
          <w:tcPr>
            <w:tcW w:w="1337"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88" w:type="dxa"/>
            <w:gridSpan w:val="8"/>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12"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7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080"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continue"/>
            <w:vAlign w:val="center"/>
          </w:tcPr>
          <w:p>
            <w:pPr>
              <w:spacing w:line="320" w:lineRule="exact"/>
              <w:jc w:val="center"/>
              <w:rPr>
                <w:rFonts w:ascii="仿宋_GB2312" w:hAnsi="仿宋_GB2312" w:eastAsia="仿宋_GB2312" w:cs="仿宋_GB2312"/>
                <w:sz w:val="24"/>
              </w:rPr>
            </w:pPr>
          </w:p>
        </w:tc>
        <w:tc>
          <w:tcPr>
            <w:tcW w:w="1337"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8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12" w:type="dxa"/>
            <w:gridSpan w:val="3"/>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337"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43436.01</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27363.06</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21777.42</w:t>
            </w:r>
          </w:p>
        </w:tc>
        <w:tc>
          <w:tcPr>
            <w:tcW w:w="1388"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5585.64</w:t>
            </w:r>
          </w:p>
        </w:tc>
        <w:tc>
          <w:tcPr>
            <w:tcW w:w="1212" w:type="dxa"/>
            <w:gridSpan w:val="3"/>
            <w:vAlign w:val="center"/>
          </w:tcPr>
          <w:p>
            <w:pPr>
              <w:tabs>
                <w:tab w:val="left" w:pos="360"/>
              </w:tabs>
              <w:autoSpaceDN w:val="0"/>
              <w:spacing w:line="320" w:lineRule="exact"/>
              <w:jc w:val="center"/>
              <w:textAlignment w:val="center"/>
              <w:rPr>
                <w:rFonts w:ascii="仿宋_GB2312" w:hAnsi="仿宋_GB2312" w:eastAsia="仿宋_GB2312" w:cs="仿宋_GB2312"/>
                <w:color w:val="000000"/>
                <w:sz w:val="24"/>
              </w:rPr>
            </w:pPr>
          </w:p>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6072.95</w:t>
            </w:r>
          </w:p>
          <w:p>
            <w:pPr>
              <w:tabs>
                <w:tab w:val="left" w:pos="360"/>
              </w:tabs>
              <w:autoSpaceDN w:val="0"/>
              <w:spacing w:line="320" w:lineRule="exact"/>
              <w:jc w:val="center"/>
              <w:textAlignment w:val="center"/>
              <w:rPr>
                <w:rFonts w:ascii="仿宋_GB2312" w:hAnsi="仿宋_GB2312" w:eastAsia="仿宋_GB2312" w:cs="仿宋_GB2312"/>
                <w:color w:val="000000"/>
                <w:sz w:val="24"/>
              </w:rPr>
            </w:pP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-3917.86</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7589.82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37" w:type="dxa"/>
            <w:gridSpan w:val="5"/>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225" w:type="dxa"/>
            <w:gridSpan w:val="18"/>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continue"/>
            <w:vAlign w:val="center"/>
          </w:tcPr>
          <w:p>
            <w:pPr>
              <w:spacing w:line="320" w:lineRule="exact"/>
              <w:jc w:val="center"/>
              <w:rPr>
                <w:rFonts w:ascii="仿宋_GB2312" w:hAnsi="仿宋_GB2312" w:eastAsia="仿宋_GB2312" w:cs="仿宋_GB2312"/>
                <w:sz w:val="24"/>
              </w:rPr>
            </w:pPr>
          </w:p>
        </w:tc>
        <w:tc>
          <w:tcPr>
            <w:tcW w:w="1337"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6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28" w:type="dxa"/>
            <w:gridSpan w:val="5"/>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公务用车运维费</w:t>
            </w:r>
          </w:p>
        </w:tc>
        <w:tc>
          <w:tcPr>
            <w:tcW w:w="1900"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公务用车购置费</w:t>
            </w:r>
          </w:p>
        </w:tc>
        <w:tc>
          <w:tcPr>
            <w:tcW w:w="203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238"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337" w:type="dxa"/>
            <w:gridSpan w:val="5"/>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302.72</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0.67</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229.22</w:t>
            </w:r>
          </w:p>
        </w:tc>
        <w:tc>
          <w:tcPr>
            <w:tcW w:w="1900" w:type="dxa"/>
            <w:gridSpan w:val="6"/>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72.83</w:t>
            </w:r>
          </w:p>
        </w:tc>
        <w:tc>
          <w:tcPr>
            <w:tcW w:w="2037" w:type="dxa"/>
            <w:gridSpan w:val="3"/>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37" w:type="dxa"/>
            <w:gridSpan w:val="5"/>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84" w:type="dxa"/>
            <w:gridSpan w:val="17"/>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Merge w:val="continue"/>
            <w:vAlign w:val="center"/>
          </w:tcPr>
          <w:p>
            <w:pPr>
              <w:spacing w:line="320" w:lineRule="exact"/>
              <w:jc w:val="center"/>
              <w:rPr>
                <w:rFonts w:ascii="仿宋_GB2312" w:hAnsi="仿宋_GB2312" w:eastAsia="仿宋_GB2312" w:cs="仿宋_GB2312"/>
                <w:sz w:val="24"/>
              </w:rPr>
            </w:pPr>
          </w:p>
        </w:tc>
        <w:tc>
          <w:tcPr>
            <w:tcW w:w="1337"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44" w:type="dxa"/>
            <w:gridSpan w:val="8"/>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40" w:type="dxa"/>
            <w:gridSpan w:val="9"/>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238"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337"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43215.76</w:t>
            </w:r>
          </w:p>
        </w:tc>
        <w:tc>
          <w:tcPr>
            <w:tcW w:w="3144" w:type="dxa"/>
            <w:gridSpan w:val="8"/>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43215.76</w:t>
            </w:r>
          </w:p>
        </w:tc>
        <w:tc>
          <w:tcPr>
            <w:tcW w:w="314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highlight w:val="none"/>
              </w:rPr>
            </w:pPr>
            <w:r>
              <w:rPr>
                <w:rFonts w:hint="eastAsia" w:ascii="仿宋_GB2312" w:hAnsi="仿宋_GB2312" w:eastAsia="仿宋_GB2312" w:cs="仿宋_GB2312"/>
                <w:color w:val="auto"/>
                <w:sz w:val="24"/>
                <w:highlight w:val="none"/>
              </w:rPr>
              <w:t>整体支出绩效定性目标及实施计划完成情况</w:t>
            </w:r>
          </w:p>
        </w:tc>
        <w:tc>
          <w:tcPr>
            <w:tcW w:w="4109" w:type="dxa"/>
            <w:gridSpan w:val="11"/>
            <w:vAlign w:val="center"/>
          </w:tcPr>
          <w:p>
            <w:pPr>
              <w:autoSpaceDN w:val="0"/>
              <w:spacing w:line="32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预期目标</w:t>
            </w:r>
          </w:p>
        </w:tc>
        <w:tc>
          <w:tcPr>
            <w:tcW w:w="4250" w:type="dxa"/>
            <w:gridSpan w:val="11"/>
            <w:vAlign w:val="center"/>
          </w:tcPr>
          <w:p>
            <w:pPr>
              <w:autoSpaceDN w:val="0"/>
              <w:spacing w:line="320" w:lineRule="exact"/>
              <w:jc w:val="center"/>
              <w:textAlignment w:val="center"/>
              <w:rPr>
                <w:rFonts w:ascii="仿宋_GB2312" w:hAnsi="仿宋_GB2312" w:eastAsia="仿宋_GB2312" w:cs="仿宋_GB2312"/>
                <w:color w:val="FF0000"/>
                <w:sz w:val="24"/>
                <w:highlight w:val="none"/>
              </w:rPr>
            </w:pPr>
            <w:r>
              <w:rPr>
                <w:rFonts w:hint="eastAsia" w:ascii="仿宋_GB2312" w:hAnsi="仿宋_GB2312" w:eastAsia="仿宋_GB2312" w:cs="仿宋_GB2312"/>
                <w:color w:val="auto"/>
                <w:sz w:val="24"/>
                <w:highlight w:val="none"/>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90" w:hRule="atLeast"/>
          <w:jc w:val="center"/>
        </w:trPr>
        <w:tc>
          <w:tcPr>
            <w:tcW w:w="1441" w:type="dxa"/>
            <w:gridSpan w:val="2"/>
            <w:vMerge w:val="continue"/>
            <w:vAlign w:val="center"/>
          </w:tcPr>
          <w:p>
            <w:pPr>
              <w:spacing w:line="320" w:lineRule="exact"/>
              <w:rPr>
                <w:rFonts w:ascii="仿宋_GB2312" w:hAnsi="仿宋_GB2312" w:eastAsia="仿宋_GB2312" w:cs="仿宋_GB2312"/>
                <w:color w:val="FF0000"/>
                <w:sz w:val="24"/>
                <w:highlight w:val="none"/>
              </w:rPr>
            </w:pPr>
          </w:p>
        </w:tc>
        <w:tc>
          <w:tcPr>
            <w:tcW w:w="4109" w:type="dxa"/>
            <w:gridSpan w:val="11"/>
            <w:vAlign w:val="center"/>
          </w:tcPr>
          <w:p>
            <w:pPr>
              <w:autoSpaceDN w:val="0"/>
              <w:spacing w:line="360" w:lineRule="auto"/>
              <w:jc w:val="left"/>
              <w:textAlignment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 社会治安总体良好，综合治理有效，环境改善</w:t>
            </w:r>
            <w:r>
              <w:rPr>
                <w:rFonts w:hint="eastAsia" w:ascii="仿宋_GB2312" w:hAnsi="仿宋_GB2312" w:eastAsia="仿宋_GB2312" w:cs="仿宋_GB2312"/>
                <w:color w:val="auto"/>
                <w:sz w:val="21"/>
                <w:szCs w:val="21"/>
                <w:highlight w:val="none"/>
                <w:lang w:eastAsia="zh-CN"/>
              </w:rPr>
              <w:t>。</w:t>
            </w:r>
          </w:p>
          <w:p>
            <w:pPr>
              <w:autoSpaceDN w:val="0"/>
              <w:spacing w:line="360" w:lineRule="auto"/>
              <w:jc w:val="left"/>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 改善治安条件和办案效率，对维护经济环境起到积极作用。</w:t>
            </w:r>
          </w:p>
          <w:p>
            <w:pPr>
              <w:autoSpaceDN w:val="0"/>
              <w:spacing w:line="360" w:lineRule="auto"/>
              <w:jc w:val="left"/>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群众满意度提高。</w:t>
            </w:r>
          </w:p>
        </w:tc>
        <w:tc>
          <w:tcPr>
            <w:tcW w:w="4250" w:type="dxa"/>
            <w:gridSpan w:val="11"/>
            <w:vAlign w:val="center"/>
          </w:tcPr>
          <w:p>
            <w:pPr>
              <w:autoSpaceDN w:val="0"/>
              <w:spacing w:line="360" w:lineRule="auto"/>
              <w:jc w:val="left"/>
              <w:textAlignment w:val="center"/>
              <w:rPr>
                <w:rFonts w:hint="eastAsia" w:ascii="仿宋" w:hAnsi="仿宋" w:eastAsia="仿宋" w:cs="仿宋_GB2312"/>
                <w:color w:val="auto"/>
                <w:sz w:val="21"/>
                <w:szCs w:val="21"/>
                <w:highlight w:val="none"/>
                <w:lang w:eastAsia="zh-CN"/>
              </w:rPr>
            </w:pPr>
            <w:r>
              <w:rPr>
                <w:rFonts w:hint="eastAsia" w:ascii="仿宋" w:hAnsi="仿宋" w:eastAsia="仿宋" w:cs="仿宋_GB2312"/>
                <w:color w:val="auto"/>
                <w:sz w:val="21"/>
                <w:szCs w:val="21"/>
                <w:highlight w:val="none"/>
              </w:rPr>
              <w:t>1: 社会治安总体良好，综合治理有效，为全市经济发展提供了坚实保障</w:t>
            </w:r>
            <w:r>
              <w:rPr>
                <w:rFonts w:hint="eastAsia" w:ascii="仿宋" w:hAnsi="仿宋" w:eastAsia="仿宋" w:cs="仿宋_GB2312"/>
                <w:color w:val="auto"/>
                <w:sz w:val="21"/>
                <w:szCs w:val="21"/>
                <w:highlight w:val="none"/>
                <w:lang w:eastAsia="zh-CN"/>
              </w:rPr>
              <w:t>。</w:t>
            </w:r>
          </w:p>
          <w:p>
            <w:pPr>
              <w:autoSpaceDN w:val="0"/>
              <w:spacing w:line="360" w:lineRule="auto"/>
              <w:jc w:val="left"/>
              <w:textAlignment w:val="center"/>
              <w:rPr>
                <w:rFonts w:hint="eastAsia" w:ascii="仿宋" w:hAnsi="仿宋" w:eastAsia="仿宋" w:cs="仿宋_GB2312"/>
                <w:color w:val="auto"/>
                <w:sz w:val="21"/>
                <w:szCs w:val="21"/>
                <w:highlight w:val="none"/>
                <w:lang w:eastAsia="zh-CN"/>
              </w:rPr>
            </w:pPr>
            <w:r>
              <w:rPr>
                <w:rFonts w:hint="eastAsia" w:ascii="仿宋" w:hAnsi="仿宋" w:eastAsia="仿宋" w:cs="仿宋_GB2312"/>
                <w:color w:val="auto"/>
                <w:sz w:val="21"/>
                <w:szCs w:val="21"/>
                <w:highlight w:val="none"/>
              </w:rPr>
              <w:t>2：</w:t>
            </w:r>
            <w:r>
              <w:rPr>
                <w:rFonts w:hint="eastAsia" w:ascii="仿宋" w:hAnsi="仿宋" w:eastAsia="仿宋" w:cs="仿宋_GB2312"/>
                <w:color w:val="auto"/>
                <w:sz w:val="21"/>
                <w:szCs w:val="21"/>
                <w:lang w:eastAsia="zh-CN"/>
              </w:rPr>
              <w:t>打击“盗抢骗”、“黄赌毒”、“食药环”等违法犯罪，</w:t>
            </w:r>
            <w:r>
              <w:rPr>
                <w:rFonts w:hint="eastAsia" w:ascii="仿宋_GB2312" w:hAnsi="仿宋" w:eastAsia="仿宋_GB2312" w:cs="仿宋_GB2312"/>
                <w:color w:val="auto"/>
                <w:sz w:val="21"/>
                <w:szCs w:val="21"/>
                <w:lang w:eastAsia="zh-CN"/>
              </w:rPr>
              <w:t>常态化</w:t>
            </w:r>
            <w:r>
              <w:rPr>
                <w:rFonts w:hint="eastAsia" w:ascii="仿宋_GB2312" w:hAnsi="仿宋" w:eastAsia="仿宋_GB2312" w:cs="仿宋_GB2312"/>
                <w:color w:val="auto"/>
                <w:sz w:val="21"/>
                <w:szCs w:val="21"/>
              </w:rPr>
              <w:t>开展扫黑除恶斗争</w:t>
            </w:r>
            <w:r>
              <w:rPr>
                <w:rFonts w:hint="eastAsia" w:ascii="仿宋_GB2312" w:hAnsi="仿宋" w:eastAsia="仿宋_GB2312" w:cs="仿宋_GB2312"/>
                <w:color w:val="auto"/>
                <w:sz w:val="21"/>
                <w:szCs w:val="21"/>
                <w:lang w:eastAsia="zh-CN"/>
              </w:rPr>
              <w:t>，</w:t>
            </w:r>
            <w:r>
              <w:rPr>
                <w:rFonts w:hint="eastAsia" w:ascii="仿宋" w:hAnsi="仿宋" w:eastAsia="仿宋" w:cs="仿宋_GB2312"/>
                <w:color w:val="auto"/>
                <w:sz w:val="21"/>
                <w:szCs w:val="21"/>
                <w:highlight w:val="none"/>
                <w:lang w:eastAsia="zh-CN"/>
              </w:rPr>
              <w:t>有力维护了全市政治安全、社会安定、人民安宁。</w:t>
            </w:r>
          </w:p>
          <w:p>
            <w:pPr>
              <w:autoSpaceDN w:val="0"/>
              <w:spacing w:line="360" w:lineRule="auto"/>
              <w:jc w:val="left"/>
              <w:textAlignment w:val="center"/>
              <w:rPr>
                <w:rFonts w:hint="default" w:ascii="仿宋" w:hAnsi="仿宋" w:eastAsia="仿宋" w:cs="仿宋_GB2312"/>
                <w:color w:val="auto"/>
                <w:sz w:val="21"/>
                <w:szCs w:val="21"/>
                <w:highlight w:val="none"/>
                <w:lang w:val="en-US" w:eastAsia="zh-CN"/>
              </w:rPr>
            </w:pPr>
            <w:r>
              <w:rPr>
                <w:rFonts w:hint="eastAsia" w:ascii="仿宋" w:hAnsi="仿宋" w:eastAsia="仿宋" w:cs="仿宋_GB2312"/>
                <w:color w:val="auto"/>
                <w:sz w:val="21"/>
                <w:szCs w:val="21"/>
                <w:highlight w:val="none"/>
              </w:rPr>
              <w:t>3：</w:t>
            </w:r>
            <w:r>
              <w:rPr>
                <w:rFonts w:hint="eastAsia" w:ascii="仿宋" w:hAnsi="仿宋" w:eastAsia="仿宋" w:cs="仿宋_GB2312"/>
                <w:color w:val="auto"/>
                <w:sz w:val="21"/>
                <w:szCs w:val="21"/>
                <w:lang w:eastAsia="zh-CN"/>
              </w:rPr>
              <w:t>人民安全感、满意度提升，岳阳市</w:t>
            </w:r>
            <w:r>
              <w:rPr>
                <w:rFonts w:hint="eastAsia" w:ascii="仿宋" w:hAnsi="仿宋" w:eastAsia="仿宋" w:cs="仿宋_GB2312"/>
                <w:color w:val="auto"/>
                <w:sz w:val="21"/>
                <w:szCs w:val="21"/>
              </w:rPr>
              <w:t>公安</w:t>
            </w:r>
            <w:r>
              <w:rPr>
                <w:rFonts w:hint="eastAsia" w:ascii="仿宋" w:hAnsi="仿宋" w:eastAsia="仿宋" w:cs="仿宋_GB2312"/>
                <w:color w:val="auto"/>
                <w:sz w:val="21"/>
                <w:szCs w:val="21"/>
                <w:lang w:eastAsia="zh-CN"/>
              </w:rPr>
              <w:t>警务评议在全省综合排名第二，人民群众对社会治安和公安队伍评价分别达到</w:t>
            </w:r>
            <w:r>
              <w:rPr>
                <w:rFonts w:hint="eastAsia" w:ascii="仿宋" w:hAnsi="仿宋" w:eastAsia="仿宋" w:cs="仿宋_GB2312"/>
                <w:color w:val="auto"/>
                <w:sz w:val="21"/>
                <w:szCs w:val="21"/>
                <w:lang w:val="en-US" w:eastAsia="zh-CN"/>
              </w:rPr>
              <w:t>94.33分、90.83分</w:t>
            </w:r>
            <w:r>
              <w:rPr>
                <w:rFonts w:hint="eastAsia" w:ascii="仿宋" w:hAnsi="仿宋" w:eastAsia="仿宋" w:cs="仿宋_GB2312"/>
                <w:color w:val="auto"/>
                <w:sz w:val="21"/>
                <w:szCs w:val="21"/>
                <w:highlight w:val="none"/>
                <w:lang w:val="en-US" w:eastAsia="zh-CN"/>
              </w:rPr>
              <w:t>。</w:t>
            </w:r>
          </w:p>
          <w:p>
            <w:pPr>
              <w:autoSpaceDN w:val="0"/>
              <w:spacing w:line="360" w:lineRule="auto"/>
              <w:jc w:val="center"/>
              <w:textAlignment w:val="center"/>
              <w:rPr>
                <w:rFonts w:ascii="仿宋_GB2312" w:hAnsi="仿宋_GB2312" w:eastAsia="仿宋_GB2312" w:cs="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2722"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71" w:type="dxa"/>
            <w:gridSpan w:val="6"/>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9"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highlight w:val="none"/>
              </w:rPr>
              <w:t>质量指标</w:t>
            </w:r>
          </w:p>
        </w:tc>
        <w:tc>
          <w:tcPr>
            <w:tcW w:w="3016" w:type="dxa"/>
            <w:gridSpan w:val="9"/>
            <w:vAlign w:val="center"/>
          </w:tcPr>
          <w:p>
            <w:pPr>
              <w:autoSpaceDN w:val="0"/>
              <w:spacing w:line="320" w:lineRule="exact"/>
              <w:jc w:val="left"/>
              <w:textAlignment w:val="center"/>
              <w:rPr>
                <w:rFonts w:hint="eastAsia" w:ascii="仿宋_GB2312" w:hAnsi="仿宋_GB2312" w:eastAsia="仿宋_GB2312" w:cs="仿宋_GB2312"/>
                <w:b/>
                <w:color w:val="000000"/>
                <w:sz w:val="21"/>
                <w:szCs w:val="21"/>
                <w:highlight w:val="yellow"/>
                <w:lang w:eastAsia="zh-CN"/>
              </w:rPr>
            </w:pPr>
            <w:r>
              <w:rPr>
                <w:rFonts w:hint="eastAsia" w:ascii="仿宋_GB2312" w:hAnsi="仿宋_GB2312" w:eastAsia="仿宋_GB2312" w:cs="仿宋_GB2312"/>
                <w:color w:val="000000"/>
                <w:sz w:val="21"/>
                <w:szCs w:val="21"/>
                <w:highlight w:val="none"/>
              </w:rPr>
              <w:t>本年度现行案件破案率达到2021年度目标任务指导数</w:t>
            </w:r>
          </w:p>
        </w:tc>
        <w:tc>
          <w:tcPr>
            <w:tcW w:w="267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yellow"/>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3016"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1、完成省厅5项专项工作，配合省厅完成专项行动；</w:t>
            </w:r>
          </w:p>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2、重点人员在控率70%；</w:t>
            </w:r>
          </w:p>
        </w:tc>
        <w:tc>
          <w:tcPr>
            <w:tcW w:w="2671"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yellow"/>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3016" w:type="dxa"/>
            <w:gridSpan w:val="9"/>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2021年年底之前</w:t>
            </w:r>
          </w:p>
        </w:tc>
        <w:tc>
          <w:tcPr>
            <w:tcW w:w="2671"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1"/>
                <w:szCs w:val="21"/>
                <w:highlight w:val="none"/>
                <w:lang w:eastAsia="zh-CN"/>
              </w:rPr>
            </w:pPr>
            <w:r>
              <w:rPr>
                <w:rFonts w:hint="eastAsia" w:ascii="仿宋_GB2312" w:hAnsi="仿宋_GB2312" w:eastAsia="仿宋_GB2312" w:cs="仿宋_GB2312"/>
                <w:bCs/>
                <w:color w:val="000000"/>
                <w:sz w:val="21"/>
                <w:szCs w:val="21"/>
                <w:highlight w:val="none"/>
                <w:lang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6"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yellow"/>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3016" w:type="dxa"/>
            <w:gridSpan w:val="9"/>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预算内资金</w:t>
            </w:r>
          </w:p>
        </w:tc>
        <w:tc>
          <w:tcPr>
            <w:tcW w:w="2671" w:type="dxa"/>
            <w:gridSpan w:val="6"/>
            <w:vAlign w:val="center"/>
          </w:tcPr>
          <w:p>
            <w:pPr>
              <w:autoSpaceDN w:val="0"/>
              <w:spacing w:line="320" w:lineRule="exact"/>
              <w:jc w:val="left"/>
              <w:textAlignment w:val="center"/>
              <w:rPr>
                <w:rFonts w:ascii="仿宋_GB2312" w:hAnsi="仿宋_GB2312" w:eastAsia="仿宋_GB2312" w:cs="仿宋_GB2312"/>
                <w:b/>
                <w:color w:val="000000"/>
                <w:sz w:val="21"/>
                <w:szCs w:val="21"/>
                <w:highlight w:val="none"/>
              </w:rPr>
            </w:pPr>
            <w:r>
              <w:rPr>
                <w:rFonts w:hint="eastAsia" w:ascii="仿宋_GB2312" w:hAnsi="仿宋_GB2312" w:eastAsia="仿宋_GB2312" w:cs="仿宋_GB2312"/>
                <w:bCs/>
                <w:color w:val="000000"/>
                <w:sz w:val="21"/>
                <w:szCs w:val="21"/>
                <w:highlight w:val="none"/>
              </w:rPr>
              <w:t>预算控制内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3016" w:type="dxa"/>
            <w:gridSpan w:val="9"/>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1.预防、制止和侦查违法犯罪活动、维护社会治安秩序，制止危害社会治安秩序的行为；2.依法稳妥维护好全市政治大局稳定</w:t>
            </w:r>
          </w:p>
        </w:tc>
        <w:tc>
          <w:tcPr>
            <w:tcW w:w="2671" w:type="dxa"/>
            <w:gridSpan w:val="6"/>
            <w:vAlign w:val="center"/>
          </w:tcPr>
          <w:p>
            <w:pPr>
              <w:autoSpaceDN w:val="0"/>
              <w:spacing w:line="320" w:lineRule="exact"/>
              <w:jc w:val="left"/>
              <w:textAlignment w:val="center"/>
              <w:rPr>
                <w:rFonts w:hint="eastAsia" w:ascii="仿宋" w:hAnsi="仿宋" w:eastAsia="仿宋" w:cs="仿宋_GB2312"/>
                <w:color w:val="000000"/>
                <w:sz w:val="21"/>
                <w:szCs w:val="21"/>
                <w:highlight w:val="none"/>
                <w:lang w:eastAsia="zh-CN"/>
              </w:rPr>
            </w:pPr>
            <w:r>
              <w:rPr>
                <w:rFonts w:hint="eastAsia" w:ascii="仿宋" w:hAnsi="仿宋" w:eastAsia="仿宋" w:cs="仿宋_GB2312"/>
                <w:color w:val="000000"/>
                <w:sz w:val="21"/>
                <w:szCs w:val="21"/>
                <w:highlight w:val="none"/>
                <w:lang w:eastAsia="zh-CN"/>
              </w:rPr>
              <w:t>深入开展扫黑除恶专项斗争、集打斗争；持续向传统“盗抢骗”犯罪发起凌厉攻势，有力维护了全市政治安全、社会安定、人民安宁。</w:t>
            </w:r>
          </w:p>
          <w:p>
            <w:pPr>
              <w:autoSpaceDN w:val="0"/>
              <w:spacing w:line="320" w:lineRule="exact"/>
              <w:jc w:val="left"/>
              <w:textAlignment w:val="center"/>
              <w:rPr>
                <w:rFonts w:ascii="仿宋_GB2312" w:hAnsi="仿宋_GB2312" w:eastAsia="仿宋_GB2312" w:cs="仿宋_GB2312"/>
                <w:b/>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none"/>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3016" w:type="dxa"/>
            <w:gridSpan w:val="9"/>
            <w:vAlign w:val="center"/>
          </w:tcPr>
          <w:p>
            <w:pPr>
              <w:autoSpaceDN w:val="0"/>
              <w:spacing w:line="320" w:lineRule="exact"/>
              <w:jc w:val="left"/>
              <w:textAlignment w:val="center"/>
              <w:rPr>
                <w:rFonts w:ascii="仿宋" w:hAnsi="仿宋" w:eastAsia="仿宋" w:cs="仿宋_GB2312"/>
                <w:color w:val="000000"/>
                <w:sz w:val="21"/>
                <w:szCs w:val="21"/>
                <w:highlight w:val="none"/>
              </w:rPr>
            </w:pPr>
            <w:r>
              <w:rPr>
                <w:rFonts w:hint="eastAsia" w:ascii="仿宋" w:hAnsi="仿宋" w:eastAsia="仿宋" w:cs="仿宋_GB2312"/>
                <w:color w:val="000000"/>
                <w:sz w:val="21"/>
                <w:szCs w:val="21"/>
                <w:highlight w:val="none"/>
              </w:rPr>
              <w:t>1、为全市经济社会发展保驾护航。</w:t>
            </w:r>
          </w:p>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 w:hAnsi="仿宋" w:eastAsia="仿宋" w:cs="仿宋_GB2312"/>
                <w:color w:val="000000"/>
                <w:sz w:val="21"/>
                <w:szCs w:val="21"/>
                <w:highlight w:val="none"/>
              </w:rPr>
              <w:t>2、有效利用各项经费，取得最大的战果。</w:t>
            </w:r>
          </w:p>
        </w:tc>
        <w:tc>
          <w:tcPr>
            <w:tcW w:w="2671" w:type="dxa"/>
            <w:gridSpan w:val="6"/>
            <w:vAlign w:val="center"/>
          </w:tcPr>
          <w:p>
            <w:pPr>
              <w:autoSpaceDN w:val="0"/>
              <w:spacing w:line="320" w:lineRule="exact"/>
              <w:jc w:val="left"/>
              <w:textAlignment w:val="center"/>
              <w:rPr>
                <w:rFonts w:ascii="仿宋" w:hAnsi="仿宋" w:eastAsia="仿宋" w:cs="仿宋_GB2312"/>
                <w:color w:val="000000"/>
                <w:sz w:val="21"/>
                <w:szCs w:val="21"/>
                <w:highlight w:val="none"/>
              </w:rPr>
            </w:pPr>
            <w:r>
              <w:rPr>
                <w:rFonts w:hint="eastAsia" w:ascii="仿宋" w:hAnsi="仿宋" w:eastAsia="仿宋" w:cs="仿宋_GB2312"/>
                <w:color w:val="000000"/>
                <w:sz w:val="21"/>
                <w:szCs w:val="21"/>
                <w:highlight w:val="none"/>
              </w:rPr>
              <w:t>1、社会治安总体良好，综合治理有效，为全市经济发展提供了坚实保障。</w:t>
            </w:r>
          </w:p>
          <w:p>
            <w:pPr>
              <w:autoSpaceDN w:val="0"/>
              <w:spacing w:line="320" w:lineRule="exact"/>
              <w:jc w:val="left"/>
              <w:textAlignment w:val="center"/>
              <w:rPr>
                <w:rFonts w:ascii="仿宋_GB2312" w:hAnsi="仿宋_GB2312" w:eastAsia="仿宋_GB2312" w:cs="仿宋_GB2312"/>
                <w:b/>
                <w:color w:val="000000"/>
                <w:sz w:val="21"/>
                <w:szCs w:val="21"/>
                <w:highlight w:val="none"/>
              </w:rPr>
            </w:pPr>
            <w:r>
              <w:rPr>
                <w:rFonts w:ascii="仿宋" w:hAnsi="仿宋" w:eastAsia="仿宋" w:cs="仿宋_GB2312"/>
                <w:color w:val="000000"/>
                <w:sz w:val="21"/>
                <w:szCs w:val="21"/>
                <w:highlight w:val="none"/>
              </w:rPr>
              <w:t>2</w:t>
            </w:r>
            <w:r>
              <w:rPr>
                <w:rFonts w:hint="eastAsia" w:ascii="仿宋" w:hAnsi="仿宋" w:eastAsia="仿宋" w:cs="仿宋_GB2312"/>
                <w:color w:val="000000"/>
                <w:sz w:val="21"/>
                <w:szCs w:val="21"/>
                <w:highlight w:val="none"/>
              </w:rPr>
              <w:t>、厉行节约，严控三公经费支出，</w:t>
            </w:r>
            <w:r>
              <w:rPr>
                <w:rFonts w:hint="eastAsia" w:ascii="仿宋" w:hAnsi="仿宋" w:eastAsia="仿宋" w:cs="仿宋_GB2312"/>
                <w:color w:val="000000"/>
                <w:sz w:val="21"/>
                <w:szCs w:val="21"/>
                <w:highlight w:val="none"/>
                <w:lang w:eastAsia="zh-CN"/>
              </w:rPr>
              <w:t>严格压减一般性支出，</w:t>
            </w:r>
            <w:r>
              <w:rPr>
                <w:rFonts w:hint="eastAsia" w:ascii="仿宋" w:hAnsi="仿宋" w:eastAsia="仿宋" w:cs="仿宋_GB2312"/>
                <w:color w:val="000000"/>
                <w:sz w:val="21"/>
                <w:szCs w:val="21"/>
                <w:highlight w:val="none"/>
              </w:rPr>
              <w:t>有效提升了资金使用效率。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none"/>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3016" w:type="dxa"/>
            <w:gridSpan w:val="9"/>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r>
              <w:rPr>
                <w:rFonts w:hint="eastAsia" w:ascii="仿宋" w:hAnsi="仿宋" w:eastAsia="仿宋" w:cs="仿宋_GB2312"/>
                <w:color w:val="000000"/>
                <w:sz w:val="21"/>
                <w:szCs w:val="21"/>
                <w:highlight w:val="none"/>
              </w:rPr>
              <w:t>加大食药环案件办理力度，打击非法采砂，改善洞庭湖水域环境。</w:t>
            </w:r>
          </w:p>
        </w:tc>
        <w:tc>
          <w:tcPr>
            <w:tcW w:w="2671" w:type="dxa"/>
            <w:gridSpan w:val="6"/>
            <w:vAlign w:val="center"/>
          </w:tcPr>
          <w:p>
            <w:pPr>
              <w:autoSpaceDN w:val="0"/>
              <w:spacing w:line="320" w:lineRule="exact"/>
              <w:jc w:val="left"/>
              <w:textAlignment w:val="center"/>
              <w:rPr>
                <w:rFonts w:ascii="仿宋_GB2312" w:hAnsi="仿宋_GB2312" w:eastAsia="仿宋_GB2312" w:cs="仿宋_GB2312"/>
                <w:b/>
                <w:color w:val="000000"/>
                <w:sz w:val="21"/>
                <w:szCs w:val="21"/>
                <w:highlight w:val="none"/>
              </w:rPr>
            </w:pPr>
            <w:r>
              <w:rPr>
                <w:rFonts w:hint="eastAsia" w:ascii="仿宋" w:hAnsi="仿宋" w:eastAsia="仿宋" w:cs="仿宋_GB2312"/>
                <w:color w:val="000000"/>
                <w:sz w:val="21"/>
                <w:szCs w:val="21"/>
                <w:highlight w:val="none"/>
              </w:rPr>
              <w:t>办理了多起非法采砂</w:t>
            </w:r>
            <w:r>
              <w:rPr>
                <w:rFonts w:hint="eastAsia" w:ascii="仿宋" w:hAnsi="仿宋" w:eastAsia="仿宋" w:cs="仿宋_GB2312"/>
                <w:color w:val="000000"/>
                <w:sz w:val="21"/>
                <w:szCs w:val="21"/>
                <w:highlight w:val="none"/>
                <w:lang w:eastAsia="zh-CN"/>
              </w:rPr>
              <w:t>、</w:t>
            </w:r>
            <w:r>
              <w:rPr>
                <w:rFonts w:hint="eastAsia" w:ascii="仿宋" w:hAnsi="仿宋" w:eastAsia="仿宋" w:cs="仿宋_GB2312"/>
                <w:color w:val="000000"/>
                <w:sz w:val="21"/>
                <w:szCs w:val="21"/>
                <w:highlight w:val="none"/>
              </w:rPr>
              <w:t>非法捕捞</w:t>
            </w:r>
            <w:r>
              <w:rPr>
                <w:rFonts w:hint="eastAsia" w:ascii="仿宋" w:hAnsi="仿宋" w:eastAsia="仿宋" w:cs="仿宋_GB2312"/>
                <w:color w:val="000000"/>
                <w:sz w:val="21"/>
                <w:szCs w:val="21"/>
                <w:highlight w:val="none"/>
                <w:lang w:eastAsia="zh-CN"/>
              </w:rPr>
              <w:t>案件</w:t>
            </w:r>
            <w:r>
              <w:rPr>
                <w:rFonts w:hint="eastAsia" w:ascii="仿宋" w:hAnsi="仿宋" w:eastAsia="仿宋" w:cs="仿宋_GB2312"/>
                <w:color w:val="000000"/>
                <w:sz w:val="21"/>
                <w:szCs w:val="21"/>
                <w:highlight w:val="none"/>
              </w:rPr>
              <w:t>,有效遏制了洞庭湖、长江流域非法采砂及捕捞的猖狂之势，保护了洞庭水域的生态环境。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highlight w:val="yellow"/>
              </w:rPr>
            </w:pPr>
          </w:p>
        </w:tc>
        <w:tc>
          <w:tcPr>
            <w:tcW w:w="1122" w:type="dxa"/>
            <w:gridSpan w:val="3"/>
            <w:vMerge w:val="continue"/>
            <w:vAlign w:val="center"/>
          </w:tcPr>
          <w:p>
            <w:pPr>
              <w:autoSpaceDN w:val="0"/>
              <w:spacing w:line="320" w:lineRule="exact"/>
              <w:rPr>
                <w:rFonts w:ascii="仿宋_GB2312" w:hAnsi="仿宋_GB2312" w:eastAsia="仿宋_GB2312" w:cs="仿宋_GB2312"/>
                <w:sz w:val="24"/>
                <w:highlight w:val="none"/>
              </w:rPr>
            </w:pPr>
          </w:p>
        </w:tc>
        <w:tc>
          <w:tcPr>
            <w:tcW w:w="1550"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3016" w:type="dxa"/>
            <w:gridSpan w:val="9"/>
            <w:vAlign w:val="center"/>
          </w:tcPr>
          <w:p>
            <w:pPr>
              <w:autoSpaceDN w:val="0"/>
              <w:spacing w:line="320" w:lineRule="exact"/>
              <w:jc w:val="left"/>
              <w:textAlignment w:val="center"/>
              <w:rPr>
                <w:rFonts w:hint="eastAsia" w:ascii="仿宋" w:hAnsi="仿宋" w:eastAsia="仿宋" w:cs="仿宋_GB2312"/>
                <w:color w:val="000000"/>
                <w:sz w:val="21"/>
                <w:szCs w:val="21"/>
                <w:highlight w:val="none"/>
              </w:rPr>
            </w:pPr>
            <w:r>
              <w:rPr>
                <w:rFonts w:hint="eastAsia" w:ascii="仿宋_GB2312" w:hAnsi="仿宋_GB2312" w:eastAsia="仿宋_GB2312" w:cs="仿宋_GB2312"/>
                <w:color w:val="auto"/>
                <w:sz w:val="21"/>
                <w:szCs w:val="21"/>
                <w:highlight w:val="none"/>
              </w:rPr>
              <w:t>群众满意度提高</w:t>
            </w:r>
          </w:p>
        </w:tc>
        <w:tc>
          <w:tcPr>
            <w:tcW w:w="2671" w:type="dxa"/>
            <w:gridSpan w:val="6"/>
            <w:vAlign w:val="center"/>
          </w:tcPr>
          <w:p>
            <w:pPr>
              <w:autoSpaceDN w:val="0"/>
              <w:spacing w:line="320" w:lineRule="exact"/>
              <w:jc w:val="left"/>
              <w:textAlignment w:val="center"/>
              <w:rPr>
                <w:rFonts w:hint="eastAsia" w:ascii="仿宋" w:hAnsi="仿宋" w:eastAsia="仿宋" w:cs="仿宋_GB2312"/>
                <w:color w:val="000000"/>
                <w:sz w:val="21"/>
                <w:szCs w:val="21"/>
                <w:highlight w:val="none"/>
              </w:rPr>
            </w:pPr>
            <w:r>
              <w:rPr>
                <w:rFonts w:hint="eastAsia" w:ascii="仿宋" w:hAnsi="仿宋" w:eastAsia="仿宋" w:cs="仿宋_GB2312"/>
                <w:color w:val="auto"/>
                <w:sz w:val="21"/>
                <w:szCs w:val="21"/>
                <w:lang w:eastAsia="zh-CN"/>
              </w:rPr>
              <w:t>岳阳市</w:t>
            </w:r>
            <w:r>
              <w:rPr>
                <w:rFonts w:hint="eastAsia" w:ascii="仿宋" w:hAnsi="仿宋" w:eastAsia="仿宋" w:cs="仿宋_GB2312"/>
                <w:color w:val="auto"/>
                <w:sz w:val="21"/>
                <w:szCs w:val="21"/>
              </w:rPr>
              <w:t>公安</w:t>
            </w:r>
            <w:r>
              <w:rPr>
                <w:rFonts w:hint="eastAsia" w:ascii="仿宋" w:hAnsi="仿宋" w:eastAsia="仿宋" w:cs="仿宋_GB2312"/>
                <w:color w:val="auto"/>
                <w:sz w:val="21"/>
                <w:szCs w:val="21"/>
                <w:lang w:eastAsia="zh-CN"/>
              </w:rPr>
              <w:t>警务评议在全省综合排名第二，人民群众对社会治安和公安队伍评价分别达到</w:t>
            </w:r>
            <w:r>
              <w:rPr>
                <w:rFonts w:hint="eastAsia" w:ascii="仿宋" w:hAnsi="仿宋" w:eastAsia="仿宋" w:cs="仿宋_GB2312"/>
                <w:color w:val="auto"/>
                <w:sz w:val="21"/>
                <w:szCs w:val="21"/>
                <w:lang w:val="en-US" w:eastAsia="zh-CN"/>
              </w:rPr>
              <w:t>94.33分、90.83分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7" w:hRule="atLeast"/>
          <w:jc w:val="center"/>
        </w:trPr>
        <w:tc>
          <w:tcPr>
            <w:tcW w:w="2563" w:type="dxa"/>
            <w:gridSpan w:val="5"/>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7237" w:type="dxa"/>
            <w:gridSpan w:val="19"/>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2563" w:type="dxa"/>
            <w:gridSpan w:val="5"/>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7237" w:type="dxa"/>
            <w:gridSpan w:val="19"/>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2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56"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5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1763" w:type="dxa"/>
            <w:gridSpan w:val="4"/>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lang w:eastAsia="zh-CN"/>
              </w:rPr>
              <w:t>李劲松</w:t>
            </w:r>
          </w:p>
        </w:tc>
        <w:tc>
          <w:tcPr>
            <w:tcW w:w="3956" w:type="dxa"/>
            <w:gridSpan w:val="10"/>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岳阳市人民政府副市长、</w:t>
            </w:r>
          </w:p>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市局党委书记、公安局长</w:t>
            </w:r>
          </w:p>
        </w:tc>
        <w:tc>
          <w:tcPr>
            <w:tcW w:w="1956"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3" w:hRule="atLeast"/>
          <w:jc w:val="center"/>
        </w:trPr>
        <w:tc>
          <w:tcPr>
            <w:tcW w:w="1763" w:type="dxa"/>
            <w:gridSpan w:val="4"/>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lang w:eastAsia="zh-CN"/>
              </w:rPr>
              <w:t>许雄</w:t>
            </w:r>
          </w:p>
        </w:tc>
        <w:tc>
          <w:tcPr>
            <w:tcW w:w="3956" w:type="dxa"/>
            <w:gridSpan w:val="10"/>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auto"/>
                <w:sz w:val="24"/>
                <w:lang w:eastAsia="zh-CN"/>
              </w:rPr>
              <w:t>市局党委副书记、常务副局长</w:t>
            </w:r>
          </w:p>
        </w:tc>
        <w:tc>
          <w:tcPr>
            <w:tcW w:w="1956"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3" w:hRule="atLeast"/>
          <w:jc w:val="center"/>
        </w:trPr>
        <w:tc>
          <w:tcPr>
            <w:tcW w:w="1763"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殷瑛</w:t>
            </w:r>
          </w:p>
        </w:tc>
        <w:tc>
          <w:tcPr>
            <w:tcW w:w="3956" w:type="dxa"/>
            <w:gridSpan w:val="10"/>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lang w:eastAsia="zh-CN"/>
              </w:rPr>
              <w:t>市局</w:t>
            </w:r>
            <w:r>
              <w:rPr>
                <w:rFonts w:hint="eastAsia" w:ascii="仿宋" w:hAnsi="仿宋" w:eastAsia="仿宋" w:cs="仿宋_GB2312"/>
                <w:color w:val="000000"/>
                <w:sz w:val="24"/>
              </w:rPr>
              <w:t>警务保障处主任</w:t>
            </w:r>
          </w:p>
        </w:tc>
        <w:tc>
          <w:tcPr>
            <w:tcW w:w="1956"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2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2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24"/>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eastAsia="仿宋_GB2312"/>
                <w:sz w:val="24"/>
              </w:rPr>
            </w:pPr>
            <w:r>
              <w:rPr>
                <w:rFonts w:hint="eastAsia" w:eastAsia="仿宋_GB2312"/>
                <w:sz w:val="24"/>
              </w:rPr>
              <w:t xml:space="preserve">                                                                 年    月   日</w:t>
            </w:r>
          </w:p>
          <w:p>
            <w:pPr>
              <w:autoSpaceDN w:val="0"/>
              <w:spacing w:line="320" w:lineRule="exact"/>
              <w:jc w:val="left"/>
              <w:textAlignment w:val="center"/>
              <w:rPr>
                <w:rFonts w:hint="eastAsia" w:eastAsia="仿宋_GB2312"/>
                <w:sz w:val="24"/>
              </w:rPr>
            </w:pP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eastAsia="zh-CN"/>
        </w:rPr>
        <w:t>陈姿伶</w:t>
      </w:r>
      <w:r>
        <w:rPr>
          <w:rFonts w:hint="eastAsia" w:eastAsia="仿宋_GB2312" w:cs="仿宋_GB2312"/>
          <w:bCs/>
          <w:sz w:val="28"/>
          <w:szCs w:val="28"/>
        </w:rPr>
        <w:t xml:space="preserve">                       联系电话：8619</w:t>
      </w:r>
      <w:r>
        <w:rPr>
          <w:rFonts w:hint="eastAsia" w:eastAsia="仿宋_GB2312" w:cs="仿宋_GB2312"/>
          <w:bCs/>
          <w:sz w:val="28"/>
          <w:szCs w:val="28"/>
          <w:lang w:val="en-US" w:eastAsia="zh-CN"/>
        </w:rPr>
        <w:t>9</w:t>
      </w:r>
      <w:r>
        <w:rPr>
          <w:rFonts w:hint="eastAsia" w:eastAsia="仿宋_GB2312" w:cs="仿宋_GB2312"/>
          <w:bCs/>
          <w:sz w:val="28"/>
          <w:szCs w:val="28"/>
        </w:rPr>
        <w:t>18</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2" w:hRule="atLeast"/>
          <w:jc w:val="center"/>
        </w:trPr>
        <w:tc>
          <w:tcPr>
            <w:tcW w:w="9558" w:type="dxa"/>
          </w:tcPr>
          <w:p>
            <w:pPr>
              <w:spacing w:line="560" w:lineRule="exact"/>
              <w:ind w:firstLine="560" w:firstLineChars="200"/>
              <w:jc w:val="center"/>
              <w:rPr>
                <w:rFonts w:hint="eastAsia" w:ascii="方正小标宋简体" w:hAnsi="方正小标宋简体" w:eastAsia="方正小标宋简体" w:cs="方正小标宋简体"/>
                <w:bCs/>
                <w:sz w:val="28"/>
                <w:szCs w:val="28"/>
                <w:lang w:eastAsia="zh-CN"/>
              </w:rPr>
            </w:pPr>
          </w:p>
          <w:p>
            <w:pPr>
              <w:spacing w:line="560" w:lineRule="exact"/>
              <w:ind w:firstLine="560" w:firstLineChars="200"/>
              <w:jc w:val="center"/>
              <w:rPr>
                <w:rFonts w:hint="eastAsia" w:ascii="方正小标宋简体" w:hAnsi="方正小标宋简体" w:eastAsia="方正小标宋简体" w:cs="方正小标宋简体"/>
                <w:bCs/>
                <w:sz w:val="28"/>
                <w:szCs w:val="28"/>
                <w:lang w:val="en-US" w:eastAsia="zh-CN"/>
              </w:rPr>
            </w:pPr>
            <w:r>
              <w:rPr>
                <w:rFonts w:hint="eastAsia" w:ascii="方正小标宋简体" w:hAnsi="方正小标宋简体" w:eastAsia="方正小标宋简体" w:cs="方正小标宋简体"/>
                <w:bCs/>
                <w:sz w:val="28"/>
                <w:szCs w:val="28"/>
                <w:lang w:eastAsia="zh-CN"/>
              </w:rPr>
              <w:t>岳阳市公安局</w:t>
            </w:r>
            <w:r>
              <w:rPr>
                <w:rFonts w:hint="eastAsia" w:ascii="方正小标宋简体" w:hAnsi="方正小标宋简体" w:eastAsia="方正小标宋简体" w:cs="方正小标宋简体"/>
                <w:bCs/>
                <w:sz w:val="28"/>
                <w:szCs w:val="28"/>
                <w:lang w:val="en-US" w:eastAsia="zh-CN"/>
              </w:rPr>
              <w:t>2021年度部门整体支出绩效评价自评报告</w:t>
            </w:r>
          </w:p>
          <w:p>
            <w:pPr>
              <w:pStyle w:val="2"/>
              <w:rPr>
                <w:rFonts w:hint="eastAsia"/>
                <w:lang w:val="en-US" w:eastAsia="zh-CN"/>
              </w:rPr>
            </w:pPr>
          </w:p>
          <w:p>
            <w:pPr>
              <w:pStyle w:val="7"/>
              <w:widowControl/>
              <w:spacing w:line="360" w:lineRule="auto"/>
              <w:ind w:firstLine="480" w:firstLineChars="200"/>
              <w:jc w:val="both"/>
              <w:rPr>
                <w:rFonts w:hint="eastAsia" w:ascii="方正小标宋简体" w:hAnsi="方正小标宋简体" w:eastAsia="方正小标宋简体" w:cs="方正小标宋简体"/>
                <w:bCs/>
                <w:sz w:val="28"/>
                <w:szCs w:val="28"/>
                <w:lang w:val="en-US" w:eastAsia="zh-CN"/>
              </w:rPr>
            </w:pPr>
            <w:r>
              <w:rPr>
                <w:rFonts w:hint="eastAsia" w:ascii="仿宋_GB2312" w:hAnsi="仿宋_GB2312" w:eastAsia="仿宋_GB2312" w:cs="仿宋_GB2312"/>
                <w:sz w:val="24"/>
                <w:szCs w:val="24"/>
              </w:rPr>
              <w:t>为加强财政预算资金管理，进一步规范预算资金使用，提高财政资金使用效益，根据《岳阳市财政局 岳阳市审计局关于印发&lt;2022年度岳阳市预算绩效管理工作方案&gt;的通知》（岳财发〔2022〕6号）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岳阳市财政局 岳阳市审计局关于印发&lt;岳阳市预算绩效监控管理办法&gt;的通知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(岳财发〔2022〕15号)</w:t>
            </w:r>
            <w:r>
              <w:rPr>
                <w:rFonts w:hint="eastAsia" w:ascii="仿宋_GB2312" w:hAnsi="仿宋_GB2312" w:eastAsia="仿宋_GB2312" w:cs="仿宋_GB2312"/>
                <w:sz w:val="24"/>
                <w:szCs w:val="24"/>
                <w:lang w:val="en-US" w:eastAsia="zh-CN"/>
              </w:rPr>
              <w:t>的文件</w:t>
            </w:r>
            <w:r>
              <w:rPr>
                <w:rFonts w:hint="eastAsia" w:ascii="仿宋_GB2312" w:hAnsi="仿宋_GB2312" w:eastAsia="仿宋_GB2312" w:cs="仿宋_GB2312"/>
                <w:sz w:val="24"/>
                <w:szCs w:val="24"/>
              </w:rPr>
              <w:t>要求，我局积极组织对20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年度本部门整体支出进行了绩效自评，自评得分9</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分，现将有关情况报告如下：</w:t>
            </w:r>
          </w:p>
          <w:p>
            <w:p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一、部门（单位）概况</w:t>
            </w:r>
          </w:p>
          <w:p>
            <w:p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（一）部门（单位）基本情况</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1、岳阳市公安局现有在职民警8</w:t>
            </w:r>
            <w:r>
              <w:rPr>
                <w:rFonts w:hint="eastAsia" w:ascii="仿宋" w:hAnsi="仿宋" w:eastAsia="仿宋" w:cs="仿宋"/>
                <w:kern w:val="0"/>
                <w:sz w:val="24"/>
                <w:szCs w:val="24"/>
                <w:lang w:val="en-US" w:eastAsia="zh-CN"/>
              </w:rPr>
              <w:t>95</w:t>
            </w:r>
            <w:r>
              <w:rPr>
                <w:rFonts w:hint="eastAsia" w:ascii="仿宋" w:hAnsi="仿宋" w:eastAsia="仿宋" w:cs="仿宋"/>
                <w:kern w:val="0"/>
                <w:sz w:val="24"/>
                <w:szCs w:val="24"/>
              </w:rPr>
              <w:t>人，离退休人员3</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4人，辅警人员</w:t>
            </w:r>
            <w:r>
              <w:rPr>
                <w:rFonts w:hint="eastAsia" w:ascii="仿宋" w:hAnsi="仿宋" w:eastAsia="仿宋" w:cs="仿宋"/>
                <w:kern w:val="0"/>
                <w:sz w:val="24"/>
                <w:szCs w:val="24"/>
                <w:lang w:val="en-US" w:eastAsia="zh-CN"/>
              </w:rPr>
              <w:t>616</w:t>
            </w:r>
            <w:r>
              <w:rPr>
                <w:rFonts w:hint="eastAsia" w:ascii="仿宋" w:hAnsi="仿宋" w:eastAsia="仿宋" w:cs="仿宋"/>
                <w:kern w:val="0"/>
                <w:sz w:val="24"/>
                <w:szCs w:val="24"/>
              </w:rPr>
              <w:t>人。内设机构有：警令部、政治部、刑事侦查支队、治安管理支队、巡特警支队、禁毒支队、经济犯罪侦查支队、网技支队、监所管理支队、第一看守所、第二看守所、戒毒所、</w:t>
            </w:r>
            <w:r>
              <w:rPr>
                <w:rFonts w:hint="eastAsia" w:ascii="仿宋" w:hAnsi="仿宋" w:eastAsia="仿宋" w:cs="仿宋"/>
                <w:kern w:val="0"/>
                <w:sz w:val="24"/>
                <w:szCs w:val="24"/>
                <w:lang w:eastAsia="zh-CN"/>
              </w:rPr>
              <w:t>特殊病人治疗</w:t>
            </w:r>
            <w:r>
              <w:rPr>
                <w:rFonts w:hint="eastAsia" w:ascii="仿宋" w:hAnsi="仿宋" w:eastAsia="仿宋" w:cs="仿宋"/>
                <w:kern w:val="0"/>
                <w:sz w:val="24"/>
                <w:szCs w:val="24"/>
              </w:rPr>
              <w:t>所、拘留所、国保支队、警务督察支队、法制支队、反恐支队、人口与出入境支队、水警支队、情报信息中心、科信支队、信访科、警官培训中心、机关党委、工会、团委、妇联、离退办、驻京维稳科、审计室、警卫科、食品药品与环境犯罪侦查支队、特别勤务支队</w:t>
            </w:r>
            <w:r>
              <w:rPr>
                <w:rFonts w:hint="eastAsia" w:ascii="仿宋" w:hAnsi="仿宋" w:eastAsia="仿宋" w:cs="仿宋"/>
                <w:kern w:val="0"/>
                <w:sz w:val="24"/>
                <w:szCs w:val="24"/>
                <w:lang w:eastAsia="zh-CN"/>
              </w:rPr>
              <w:t>、森警支队</w:t>
            </w:r>
            <w:r>
              <w:rPr>
                <w:rFonts w:hint="eastAsia" w:ascii="仿宋" w:hAnsi="仿宋" w:eastAsia="仿宋" w:cs="仿宋"/>
                <w:kern w:val="0"/>
                <w:sz w:val="24"/>
                <w:szCs w:val="24"/>
              </w:rPr>
              <w:t>等。</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2、部门主要职能</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（1）预防、制止和侦查违法犯罪活动；</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（2）维护社会治安秩序，制止危害社会治安秩序的行为；</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（3）维护交通安全和交通秩序，处理交通事故；</w:t>
            </w:r>
          </w:p>
          <w:p>
            <w:pPr>
              <w:widowControl/>
              <w:spacing w:line="360" w:lineRule="auto"/>
              <w:ind w:firstLine="480" w:firstLineChars="200"/>
              <w:contextualSpacing/>
              <w:jc w:val="left"/>
              <w:rPr>
                <w:rFonts w:hint="eastAsia" w:ascii="仿宋" w:hAnsi="仿宋" w:eastAsia="仿宋" w:cs="仿宋"/>
                <w:i w:val="0"/>
                <w:caps w:val="0"/>
                <w:color w:val="000000"/>
                <w:spacing w:val="0"/>
                <w:sz w:val="24"/>
                <w:szCs w:val="24"/>
                <w:shd w:val="clear" w:fill="FFFFFF"/>
              </w:rPr>
            </w:pPr>
            <w:r>
              <w:rPr>
                <w:rFonts w:hint="eastAsia" w:ascii="仿宋" w:hAnsi="仿宋" w:eastAsia="仿宋" w:cs="仿宋"/>
                <w:kern w:val="0"/>
                <w:sz w:val="24"/>
                <w:szCs w:val="24"/>
              </w:rPr>
              <w:t>（4）组织、实施消防工作，实行消防监督；</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（5）管理枪支弹药、管制刀具和易燃易爆、剧毒、放射等危险物品；</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（6）对法律、法规制定的特种行业进行管理；</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（7）警卫国家规定的特定人员，守卫重要的场所和设施；</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（8）管理集会、游行、示威活动；</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（9）管理户政、国籍、入境出境事务和外国人在中国境内居留、旅行的有关事务；</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（10）维护国（边）境地区的治安秩序；</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（11</w:t>
            </w:r>
            <w:r>
              <w:rPr>
                <w:rFonts w:hint="eastAsia" w:ascii="仿宋" w:hAnsi="仿宋" w:eastAsia="仿宋" w:cs="仿宋"/>
                <w:kern w:val="0"/>
                <w:sz w:val="24"/>
                <w:szCs w:val="24"/>
                <w:highlight w:val="none"/>
              </w:rPr>
              <w:t>）对被判处管制、拘役、剥夺政治</w:t>
            </w:r>
            <w:r>
              <w:rPr>
                <w:rFonts w:hint="eastAsia" w:ascii="仿宋" w:hAnsi="仿宋" w:eastAsia="仿宋" w:cs="仿宋"/>
                <w:kern w:val="0"/>
                <w:sz w:val="24"/>
                <w:szCs w:val="24"/>
              </w:rPr>
              <w:t>权利的罪犯和监外执行的罪犯执行刑罚，对被宣告缓刑、假释的罪犯实行监督、考察；</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（12）监督管理计算机信息系统的安全保护工作；</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（13）指导和监督国家机关、社会团体、企业事业组织和重点建设工程的治安保卫工作，指导治安保卫委员会等群众性组织的治安防范工作；</w:t>
            </w:r>
          </w:p>
          <w:p>
            <w:pPr>
              <w:widowControl/>
              <w:spacing w:line="360" w:lineRule="auto"/>
              <w:ind w:firstLine="480" w:firstLineChars="200"/>
              <w:contextualSpacing/>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（14）指导、监督全市公安机关开展禁毒、缉毒工作，承担市禁毒委员会办公室的日常工作；</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（15）法律、法规规定的其他职责。</w:t>
            </w:r>
          </w:p>
          <w:p>
            <w:pPr>
              <w:widowControl/>
              <w:spacing w:line="360" w:lineRule="auto"/>
              <w:ind w:firstLine="480" w:firstLineChars="200"/>
              <w:contextualSpacing/>
              <w:jc w:val="left"/>
              <w:rPr>
                <w:rFonts w:hint="eastAsia" w:ascii="仿宋" w:hAnsi="仿宋" w:eastAsia="仿宋" w:cs="仿宋"/>
                <w:kern w:val="0"/>
                <w:sz w:val="24"/>
                <w:szCs w:val="24"/>
              </w:rPr>
            </w:pPr>
            <w:r>
              <w:rPr>
                <w:rFonts w:hint="eastAsia" w:ascii="仿宋" w:hAnsi="仿宋" w:eastAsia="仿宋" w:cs="仿宋"/>
                <w:kern w:val="0"/>
                <w:sz w:val="24"/>
                <w:szCs w:val="24"/>
              </w:rPr>
              <w:t>3、本年度重点工作计划</w:t>
            </w:r>
          </w:p>
          <w:p>
            <w:pPr>
              <w:widowControl/>
              <w:spacing w:line="360" w:lineRule="auto"/>
              <w:ind w:firstLine="480" w:firstLineChars="200"/>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）防范政治风险，维护政治安全；</w:t>
            </w:r>
          </w:p>
          <w:p>
            <w:pPr>
              <w:widowControl/>
              <w:spacing w:line="360" w:lineRule="auto"/>
              <w:ind w:firstLine="480" w:firstLineChars="200"/>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）化解信访积案，确保社会稳定；</w:t>
            </w:r>
          </w:p>
          <w:p>
            <w:pPr>
              <w:widowControl/>
              <w:spacing w:line="360" w:lineRule="auto"/>
              <w:ind w:firstLine="480" w:firstLineChars="200"/>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）集中打击涉毒、盗抢、电信诈骗、涉黄涉赌、“食药环”等违法犯罪，常态化开展扫黑除恶斗争；</w:t>
            </w:r>
          </w:p>
          <w:p>
            <w:pPr>
              <w:widowControl/>
              <w:spacing w:line="360" w:lineRule="auto"/>
              <w:ind w:firstLine="480" w:firstLineChars="200"/>
              <w:contextualSpacing/>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lang w:eastAsia="zh-CN"/>
              </w:rPr>
              <w:t>）全力做好疫情联防联控和流调溯源等工作；有序推进法治公安建设和基层基础建设。</w:t>
            </w:r>
          </w:p>
          <w:p>
            <w:pPr>
              <w:widowControl/>
              <w:spacing w:line="360" w:lineRule="auto"/>
              <w:ind w:firstLine="361" w:firstLineChars="150"/>
              <w:contextualSpacing/>
              <w:jc w:val="left"/>
              <w:rPr>
                <w:rFonts w:hint="eastAsia" w:ascii="仿宋" w:hAnsi="仿宋" w:eastAsia="仿宋" w:cs="仿宋"/>
                <w:b/>
                <w:kern w:val="0"/>
                <w:sz w:val="24"/>
                <w:szCs w:val="24"/>
              </w:rPr>
            </w:pPr>
            <w:r>
              <w:rPr>
                <w:rFonts w:hint="eastAsia" w:ascii="仿宋" w:hAnsi="仿宋" w:eastAsia="仿宋" w:cs="仿宋"/>
                <w:b/>
                <w:kern w:val="0"/>
                <w:sz w:val="24"/>
                <w:szCs w:val="24"/>
              </w:rPr>
              <w:t>（二）部门整体支出规模、使用方向和主要内容</w:t>
            </w:r>
          </w:p>
          <w:p>
            <w:pPr>
              <w:widowControl/>
              <w:spacing w:line="360" w:lineRule="auto"/>
              <w:ind w:firstLine="480" w:firstLineChars="200"/>
              <w:contextualSpacing/>
              <w:jc w:val="left"/>
              <w:rPr>
                <w:rFonts w:hint="eastAsia" w:ascii="仿宋" w:hAnsi="仿宋" w:eastAsia="仿宋" w:cs="仿宋"/>
                <w:bCs/>
                <w:sz w:val="24"/>
                <w:szCs w:val="24"/>
              </w:rPr>
            </w:pPr>
            <w:r>
              <w:rPr>
                <w:rFonts w:hint="eastAsia" w:ascii="仿宋" w:hAnsi="仿宋" w:eastAsia="仿宋" w:cs="仿宋"/>
                <w:kern w:val="0"/>
                <w:sz w:val="24"/>
                <w:szCs w:val="24"/>
              </w:rPr>
              <w:t>部门（单位）整体支出规模、使用方向</w:t>
            </w:r>
            <w:r>
              <w:rPr>
                <w:rFonts w:hint="eastAsia" w:ascii="仿宋" w:hAnsi="仿宋" w:eastAsia="仿宋" w:cs="仿宋"/>
                <w:bCs/>
                <w:sz w:val="24"/>
                <w:szCs w:val="24"/>
              </w:rPr>
              <w:t>和主要内容、涉及范围等</w:t>
            </w:r>
          </w:p>
          <w:p>
            <w:pPr>
              <w:widowControl/>
              <w:spacing w:line="360" w:lineRule="auto"/>
              <w:ind w:firstLine="480" w:firstLineChars="200"/>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年度整体支出的使用范围、方向和内容：</w:t>
            </w:r>
          </w:p>
          <w:p>
            <w:pPr>
              <w:widowControl/>
              <w:spacing w:line="360" w:lineRule="auto"/>
              <w:ind w:firstLine="480" w:firstLineChars="200"/>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年度总支出</w:t>
            </w:r>
            <w:r>
              <w:rPr>
                <w:rFonts w:hint="eastAsia" w:ascii="仿宋" w:hAnsi="仿宋" w:eastAsia="仿宋" w:cs="仿宋"/>
                <w:color w:val="000000"/>
                <w:kern w:val="0"/>
                <w:sz w:val="24"/>
                <w:szCs w:val="24"/>
                <w:lang w:val="en-US" w:eastAsia="zh-CN"/>
              </w:rPr>
              <w:t>43436.01</w:t>
            </w:r>
            <w:r>
              <w:rPr>
                <w:rFonts w:hint="eastAsia" w:ascii="仿宋" w:hAnsi="仿宋" w:eastAsia="仿宋" w:cs="仿宋"/>
                <w:color w:val="000000"/>
                <w:kern w:val="0"/>
                <w:sz w:val="24"/>
                <w:szCs w:val="24"/>
              </w:rPr>
              <w:t>万元，其中基本支出</w:t>
            </w:r>
            <w:r>
              <w:rPr>
                <w:rFonts w:hint="eastAsia" w:ascii="仿宋" w:hAnsi="仿宋" w:eastAsia="仿宋" w:cs="仿宋"/>
                <w:color w:val="000000"/>
                <w:kern w:val="0"/>
                <w:sz w:val="24"/>
                <w:szCs w:val="24"/>
                <w:lang w:val="en-US" w:eastAsia="zh-CN"/>
              </w:rPr>
              <w:t>27363.06</w:t>
            </w:r>
            <w:r>
              <w:rPr>
                <w:rFonts w:hint="eastAsia" w:ascii="仿宋" w:hAnsi="仿宋" w:eastAsia="仿宋" w:cs="仿宋"/>
                <w:color w:val="000000"/>
                <w:kern w:val="0"/>
                <w:sz w:val="24"/>
                <w:szCs w:val="24"/>
              </w:rPr>
              <w:t>万元，主要用于维护社会稳定，打击犯罪的实战工作和公安日常行政运行经费开支。基本支出主要包括人员经费支出和日常公用经费支出。项目支出</w:t>
            </w:r>
            <w:r>
              <w:rPr>
                <w:rFonts w:hint="eastAsia" w:ascii="仿宋" w:hAnsi="仿宋" w:eastAsia="仿宋" w:cs="仿宋"/>
                <w:color w:val="000000"/>
                <w:kern w:val="0"/>
                <w:sz w:val="24"/>
                <w:szCs w:val="24"/>
                <w:lang w:val="en-US" w:eastAsia="zh-CN"/>
              </w:rPr>
              <w:t>16072.95</w:t>
            </w:r>
            <w:r>
              <w:rPr>
                <w:rFonts w:hint="eastAsia" w:ascii="仿宋" w:hAnsi="仿宋" w:eastAsia="仿宋" w:cs="仿宋"/>
                <w:color w:val="000000"/>
                <w:kern w:val="0"/>
                <w:sz w:val="24"/>
                <w:szCs w:val="24"/>
              </w:rPr>
              <w:t>万元，主要用于防范、打击违法犯罪，监管中心建设等工作。</w:t>
            </w:r>
          </w:p>
          <w:p>
            <w:pPr>
              <w:widowControl/>
              <w:spacing w:line="480" w:lineRule="auto"/>
              <w:ind w:firstLine="477" w:firstLineChars="199"/>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实际支出具体情况如下：</w:t>
            </w:r>
          </w:p>
          <w:p>
            <w:pPr>
              <w:widowControl/>
              <w:spacing w:line="480" w:lineRule="auto"/>
              <w:ind w:right="300" w:firstLine="477" w:firstLineChars="199"/>
              <w:jc w:val="right"/>
              <w:rPr>
                <w:rFonts w:ascii="仿宋" w:hAnsi="仿宋" w:eastAsia="仿宋" w:cs="宋体"/>
                <w:color w:val="000000"/>
                <w:kern w:val="0"/>
                <w:sz w:val="30"/>
                <w:szCs w:val="30"/>
              </w:rPr>
            </w:pPr>
            <w:r>
              <w:rPr>
                <w:rFonts w:hint="eastAsia" w:ascii="仿宋" w:hAnsi="仿宋" w:eastAsia="仿宋" w:cs="宋体"/>
                <w:color w:val="000000"/>
                <w:kern w:val="0"/>
                <w:sz w:val="24"/>
                <w:szCs w:val="24"/>
              </w:rPr>
              <w:t>单位：万元</w:t>
            </w:r>
          </w:p>
          <w:tbl>
            <w:tblPr>
              <w:tblStyle w:val="8"/>
              <w:tblW w:w="4850"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3269"/>
              <w:gridCol w:w="1979"/>
              <w:gridCol w:w="1898"/>
              <w:gridCol w:w="19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支出项目</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基本支出</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项目支出</w:t>
                  </w:r>
                </w:p>
              </w:tc>
              <w:tc>
                <w:tcPr>
                  <w:tcW w:w="1051" w:type="pct"/>
                  <w:tcBorders>
                    <w:top w:val="outset" w:color="000000" w:sz="6" w:space="0"/>
                    <w:left w:val="outset" w:color="000000" w:sz="6" w:space="0"/>
                    <w:bottom w:val="outset" w:color="000000" w:sz="6" w:space="0"/>
                    <w:right w:val="outset" w:color="000000" w:sz="6" w:space="0"/>
                  </w:tcBorders>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工资福利支出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19666.71</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467.74</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20134.46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商品和服务支出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5063.43</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3137.57</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8200.99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对个人和家庭的补助</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2110.71</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 xml:space="preserve">   </w:t>
                  </w:r>
                  <w:r>
                    <w:rPr>
                      <w:rFonts w:hint="eastAsia" w:ascii="仿宋" w:hAnsi="仿宋" w:eastAsia="仿宋" w:cs="宋体"/>
                      <w:color w:val="000000"/>
                      <w:kern w:val="0"/>
                      <w:sz w:val="24"/>
                      <w:szCs w:val="24"/>
                      <w:lang w:val="en-US" w:eastAsia="zh-CN"/>
                    </w:rPr>
                    <w:t>768.65</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2879.36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其他资本性支出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522.21</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1526.66</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2048.87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基本建设支出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0</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10172.33</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10172.33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27363.06</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16072.95</w:t>
                  </w:r>
                </w:p>
              </w:tc>
              <w:tc>
                <w:tcPr>
                  <w:tcW w:w="1051" w:type="pct"/>
                  <w:tcBorders>
                    <w:top w:val="outset" w:color="000000" w:sz="6" w:space="0"/>
                    <w:left w:val="outset" w:color="000000" w:sz="6" w:space="0"/>
                    <w:bottom w:val="outset" w:color="000000" w:sz="6" w:space="0"/>
                    <w:right w:val="outset" w:color="000000" w:sz="6" w:space="0"/>
                  </w:tcBorders>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43436.01</w:t>
                  </w:r>
                </w:p>
              </w:tc>
            </w:tr>
          </w:tbl>
          <w:p>
            <w:pPr>
              <w:widowControl/>
              <w:spacing w:line="360" w:lineRule="auto"/>
              <w:ind w:firstLine="480" w:firstLineChars="200"/>
              <w:contextualSpacing/>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3、“三公”经费预算执行情况</w:t>
            </w:r>
          </w:p>
          <w:p>
            <w:pPr>
              <w:widowControl/>
              <w:spacing w:line="360" w:lineRule="auto"/>
              <w:ind w:firstLine="480" w:firstLineChars="200"/>
              <w:contextualSpacing/>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年度“三公”经费支出合计</w:t>
            </w:r>
            <w:r>
              <w:rPr>
                <w:rFonts w:hint="eastAsia" w:ascii="仿宋" w:hAnsi="仿宋" w:eastAsia="仿宋" w:cs="宋体"/>
                <w:color w:val="000000"/>
                <w:kern w:val="0"/>
                <w:sz w:val="24"/>
                <w:szCs w:val="24"/>
                <w:lang w:val="en-US" w:eastAsia="zh-CN"/>
              </w:rPr>
              <w:t>302.72</w:t>
            </w:r>
            <w:r>
              <w:rPr>
                <w:rFonts w:hint="eastAsia" w:ascii="仿宋" w:hAnsi="仿宋" w:eastAsia="仿宋" w:cs="宋体"/>
                <w:color w:val="000000"/>
                <w:kern w:val="0"/>
                <w:sz w:val="24"/>
                <w:szCs w:val="24"/>
              </w:rPr>
              <w:t>万元，其中公务接待费</w:t>
            </w:r>
            <w:r>
              <w:rPr>
                <w:rFonts w:hint="eastAsia" w:ascii="仿宋" w:hAnsi="仿宋" w:eastAsia="仿宋" w:cs="宋体"/>
                <w:color w:val="000000"/>
                <w:kern w:val="0"/>
                <w:sz w:val="24"/>
                <w:szCs w:val="24"/>
                <w:lang w:val="en-US" w:eastAsia="zh-CN"/>
              </w:rPr>
              <w:t>0.67</w:t>
            </w:r>
            <w:r>
              <w:rPr>
                <w:rFonts w:hint="eastAsia" w:ascii="仿宋" w:hAnsi="仿宋" w:eastAsia="仿宋" w:cs="宋体"/>
                <w:color w:val="000000"/>
                <w:kern w:val="0"/>
                <w:sz w:val="24"/>
                <w:szCs w:val="24"/>
              </w:rPr>
              <w:t>万元，公车运行维护费</w:t>
            </w:r>
            <w:r>
              <w:rPr>
                <w:rFonts w:hint="eastAsia" w:ascii="仿宋" w:hAnsi="仿宋" w:eastAsia="仿宋" w:cs="宋体"/>
                <w:color w:val="000000"/>
                <w:kern w:val="0"/>
                <w:sz w:val="24"/>
                <w:szCs w:val="24"/>
                <w:lang w:val="en-US" w:eastAsia="zh-CN"/>
              </w:rPr>
              <w:t>229.22</w:t>
            </w:r>
            <w:r>
              <w:rPr>
                <w:rFonts w:hint="eastAsia" w:ascii="仿宋" w:hAnsi="仿宋" w:eastAsia="仿宋" w:cs="宋体"/>
                <w:color w:val="000000"/>
                <w:kern w:val="0"/>
                <w:sz w:val="24"/>
                <w:szCs w:val="24"/>
              </w:rPr>
              <w:t>万元，公务用车购置费</w:t>
            </w:r>
            <w:r>
              <w:rPr>
                <w:rFonts w:hint="eastAsia" w:ascii="仿宋" w:hAnsi="仿宋" w:eastAsia="仿宋" w:cs="宋体"/>
                <w:color w:val="000000"/>
                <w:kern w:val="0"/>
                <w:sz w:val="24"/>
                <w:szCs w:val="24"/>
                <w:lang w:val="en-US" w:eastAsia="zh-CN"/>
              </w:rPr>
              <w:t>72.83</w:t>
            </w:r>
            <w:r>
              <w:rPr>
                <w:rFonts w:hint="eastAsia" w:ascii="仿宋" w:hAnsi="仿宋" w:eastAsia="仿宋" w:cs="宋体"/>
                <w:color w:val="000000"/>
                <w:kern w:val="0"/>
                <w:sz w:val="24"/>
                <w:szCs w:val="24"/>
              </w:rPr>
              <w:t>万元。</w:t>
            </w:r>
          </w:p>
          <w:p>
            <w:pPr>
              <w:widowControl/>
              <w:spacing w:line="360" w:lineRule="auto"/>
              <w:ind w:right="40"/>
              <w:contextualSpacing/>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单位：万元</w:t>
            </w:r>
          </w:p>
          <w:tbl>
            <w:tblPr>
              <w:tblStyle w:val="8"/>
              <w:tblW w:w="4998"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2549"/>
              <w:gridCol w:w="2047"/>
              <w:gridCol w:w="2049"/>
              <w:gridCol w:w="267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09" w:hRule="atLeast"/>
              </w:trPr>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支出科目</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基本支出</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项目支出</w:t>
                  </w:r>
                </w:p>
              </w:tc>
              <w:tc>
                <w:tcPr>
                  <w:tcW w:w="1435" w:type="pct"/>
                  <w:tcBorders>
                    <w:top w:val="outset" w:color="000000" w:sz="6" w:space="0"/>
                    <w:left w:val="outset" w:color="000000" w:sz="6" w:space="0"/>
                    <w:bottom w:val="outset" w:color="000000" w:sz="6" w:space="0"/>
                    <w:right w:val="outset" w:color="000000" w:sz="6" w:space="0"/>
                  </w:tcBorders>
                  <w:vAlign w:val="center"/>
                </w:tcPr>
                <w:p>
                  <w:pPr>
                    <w:spacing w:line="36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合计</w:t>
                  </w:r>
                  <w:r>
                    <w:rPr>
                      <w:rFonts w:hint="eastAsia" w:ascii="仿宋" w:hAnsi="仿宋" w:eastAsia="仿宋" w:cs="宋体"/>
                      <w:color w:val="000000"/>
                      <w:kern w:val="0"/>
                      <w:sz w:val="24"/>
                      <w:szCs w:val="24"/>
                      <w:lang w:val="en-US" w:eastAsia="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13" w:hRule="atLeast"/>
              </w:trPr>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公务接待费</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480" w:firstLineChars="2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0.15</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20" w:firstLineChars="3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0.</w:t>
                  </w:r>
                  <w:r>
                    <w:rPr>
                      <w:rFonts w:hint="eastAsia" w:ascii="仿宋" w:hAnsi="仿宋" w:eastAsia="仿宋" w:cs="宋体"/>
                      <w:color w:val="000000"/>
                      <w:kern w:val="0"/>
                      <w:sz w:val="24"/>
                      <w:szCs w:val="24"/>
                      <w:lang w:val="en-US" w:eastAsia="zh-CN"/>
                    </w:rPr>
                    <w:t>52</w:t>
                  </w:r>
                </w:p>
              </w:tc>
              <w:tc>
                <w:tcPr>
                  <w:tcW w:w="1435"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960" w:firstLineChars="4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0.67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38" w:hRule="atLeast"/>
              </w:trPr>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公车运行维护</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480" w:firstLineChars="2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115.78</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20" w:firstLineChars="3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113.45</w:t>
                  </w:r>
                </w:p>
              </w:tc>
              <w:tc>
                <w:tcPr>
                  <w:tcW w:w="1435"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960" w:firstLineChars="4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229.22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因公出国费用</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20" w:firstLineChars="300"/>
                    <w:contextualSpacing/>
                    <w:jc w:val="left"/>
                    <w:rPr>
                      <w:rFonts w:ascii="仿宋" w:hAnsi="仿宋" w:eastAsia="仿宋"/>
                      <w:color w:val="000000"/>
                      <w:kern w:val="0"/>
                      <w:sz w:val="24"/>
                      <w:szCs w:val="24"/>
                    </w:rPr>
                  </w:pPr>
                  <w:r>
                    <w:rPr>
                      <w:rFonts w:hint="eastAsia" w:ascii="仿宋" w:hAnsi="仿宋" w:eastAsia="仿宋"/>
                      <w:color w:val="000000"/>
                      <w:kern w:val="0"/>
                      <w:sz w:val="24"/>
                      <w:szCs w:val="24"/>
                    </w:rPr>
                    <w:t>0</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840" w:firstLineChars="350"/>
                    <w:contextualSpacing/>
                    <w:jc w:val="left"/>
                    <w:rPr>
                      <w:rFonts w:ascii="仿宋" w:hAnsi="仿宋" w:eastAsia="仿宋"/>
                      <w:color w:val="000000"/>
                      <w:kern w:val="0"/>
                      <w:sz w:val="24"/>
                      <w:szCs w:val="24"/>
                    </w:rPr>
                  </w:pPr>
                  <w:r>
                    <w:rPr>
                      <w:rFonts w:hint="eastAsia" w:ascii="仿宋" w:hAnsi="仿宋" w:eastAsia="仿宋"/>
                      <w:color w:val="000000"/>
                      <w:kern w:val="0"/>
                      <w:sz w:val="24"/>
                      <w:szCs w:val="24"/>
                    </w:rPr>
                    <w:t>0</w:t>
                  </w:r>
                </w:p>
              </w:tc>
              <w:tc>
                <w:tcPr>
                  <w:tcW w:w="1435"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1200" w:firstLineChars="500"/>
                    <w:contextualSpacing/>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公务</w:t>
                  </w:r>
                  <w:r>
                    <w:rPr>
                      <w:rFonts w:hint="eastAsia" w:ascii="仿宋" w:hAnsi="仿宋" w:eastAsia="仿宋" w:cs="宋体"/>
                      <w:color w:val="000000"/>
                      <w:kern w:val="0"/>
                      <w:sz w:val="24"/>
                      <w:szCs w:val="24"/>
                      <w:lang w:eastAsia="zh-CN"/>
                    </w:rPr>
                    <w:t>用</w:t>
                  </w:r>
                  <w:r>
                    <w:rPr>
                      <w:rFonts w:hint="eastAsia" w:ascii="仿宋" w:hAnsi="仿宋" w:eastAsia="仿宋" w:cs="宋体"/>
                      <w:color w:val="000000"/>
                      <w:kern w:val="0"/>
                      <w:sz w:val="24"/>
                      <w:szCs w:val="24"/>
                    </w:rPr>
                    <w:t>车购置费</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20" w:firstLineChars="300"/>
                    <w:contextualSpacing/>
                    <w:jc w:val="left"/>
                    <w:rPr>
                      <w:rFonts w:ascii="仿宋" w:hAnsi="仿宋" w:eastAsia="仿宋"/>
                      <w:color w:val="000000"/>
                      <w:kern w:val="0"/>
                      <w:sz w:val="24"/>
                      <w:szCs w:val="24"/>
                    </w:rPr>
                  </w:pPr>
                  <w:r>
                    <w:rPr>
                      <w:rFonts w:hint="eastAsia" w:ascii="仿宋" w:hAnsi="仿宋" w:eastAsia="仿宋"/>
                      <w:color w:val="000000"/>
                      <w:kern w:val="0"/>
                      <w:sz w:val="24"/>
                      <w:szCs w:val="24"/>
                    </w:rPr>
                    <w:t>0</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600" w:firstLineChars="250"/>
                    <w:contextualSpacing/>
                    <w:jc w:val="left"/>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72.83</w:t>
                  </w:r>
                </w:p>
              </w:tc>
              <w:tc>
                <w:tcPr>
                  <w:tcW w:w="1435"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960" w:firstLineChars="4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72.83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480" w:firstLineChars="2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115.93</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20" w:firstLineChars="3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186.8</w:t>
                  </w:r>
                </w:p>
              </w:tc>
              <w:tc>
                <w:tcPr>
                  <w:tcW w:w="1435"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960" w:firstLineChars="400"/>
                    <w:contextualSpacing/>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302.73</w:t>
                  </w:r>
                </w:p>
              </w:tc>
            </w:tr>
          </w:tbl>
          <w:p>
            <w:pPr>
              <w:spacing w:line="560" w:lineRule="exac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*：合计与明细数据的尾数差异，系约分取数引起。</w:t>
            </w:r>
          </w:p>
          <w:p>
            <w:pPr>
              <w:spacing w:line="560" w:lineRule="exact"/>
              <w:rPr>
                <w:rFonts w:hint="eastAsia" w:ascii="仿宋_GB2312" w:hAnsi="仿宋_GB2312" w:eastAsia="仿宋_GB2312" w:cs="仿宋_GB2312"/>
                <w:bCs/>
                <w:sz w:val="28"/>
                <w:szCs w:val="28"/>
                <w:lang w:val="en-US" w:eastAsia="zh-CN"/>
              </w:rPr>
            </w:pPr>
          </w:p>
          <w:p>
            <w:p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二、部门（单位）整体支出管理及使用情况</w:t>
            </w:r>
          </w:p>
          <w:p>
            <w:pPr>
              <w:numPr>
                <w:ilvl w:val="0"/>
                <w:numId w:val="2"/>
              </w:num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基本支出</w:t>
            </w:r>
          </w:p>
          <w:p>
            <w:pPr>
              <w:widowControl/>
              <w:spacing w:line="480" w:lineRule="auto"/>
              <w:ind w:firstLine="477" w:firstLineChars="199"/>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年基本支出具体情况如下：</w:t>
            </w:r>
          </w:p>
          <w:p>
            <w:pPr>
              <w:widowControl/>
              <w:spacing w:line="480" w:lineRule="auto"/>
              <w:ind w:right="300" w:firstLine="477" w:firstLineChars="199"/>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单位：万元</w:t>
            </w:r>
          </w:p>
          <w:tbl>
            <w:tblPr>
              <w:tblStyle w:val="8"/>
              <w:tblW w:w="4992"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4175"/>
              <w:gridCol w:w="51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支出项目</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工资福利支出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19666.71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商品和服务支出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5063.43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对个人和家庭的补助</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2110.71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其他资本性支出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522.21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基本建设支出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27363.06</w:t>
                  </w:r>
                </w:p>
              </w:tc>
            </w:tr>
          </w:tbl>
          <w:p>
            <w:pPr>
              <w:spacing w:line="560" w:lineRule="exact"/>
              <w:rPr>
                <w:rFonts w:ascii="仿宋_GB2312" w:hAnsi="仿宋_GB2312" w:eastAsia="仿宋_GB2312" w:cs="仿宋_GB2312"/>
                <w:bCs/>
                <w:sz w:val="28"/>
                <w:szCs w:val="28"/>
              </w:rPr>
            </w:pPr>
          </w:p>
          <w:p>
            <w:p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（二）专项支出</w:t>
            </w:r>
          </w:p>
          <w:p>
            <w:pPr>
              <w:spacing w:line="560" w:lineRule="exact"/>
              <w:ind w:firstLine="480" w:firstLineChars="200"/>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1、专项资金安排落实、总投入等情况分析</w:t>
            </w:r>
          </w:p>
          <w:p>
            <w:pPr>
              <w:widowControl/>
              <w:spacing w:line="360" w:lineRule="auto"/>
              <w:ind w:firstLine="480" w:firstLineChars="200"/>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市财政</w:t>
            </w:r>
            <w:r>
              <w:rPr>
                <w:rFonts w:hint="eastAsia" w:ascii="仿宋" w:hAnsi="仿宋" w:eastAsia="仿宋" w:cs="仿宋"/>
                <w:color w:val="000000"/>
                <w:kern w:val="0"/>
                <w:sz w:val="24"/>
                <w:szCs w:val="24"/>
              </w:rPr>
              <w:t>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年度</w:t>
            </w:r>
            <w:r>
              <w:rPr>
                <w:rFonts w:hint="eastAsia" w:ascii="仿宋" w:hAnsi="仿宋" w:eastAsia="仿宋" w:cs="仿宋"/>
                <w:color w:val="000000"/>
                <w:kern w:val="0"/>
                <w:sz w:val="24"/>
                <w:szCs w:val="24"/>
                <w:lang w:eastAsia="zh-CN"/>
              </w:rPr>
              <w:t>安排我局</w:t>
            </w:r>
            <w:r>
              <w:rPr>
                <w:rFonts w:hint="eastAsia" w:ascii="仿宋" w:hAnsi="仿宋" w:eastAsia="仿宋" w:cs="仿宋"/>
                <w:color w:val="000000"/>
                <w:kern w:val="0"/>
                <w:sz w:val="24"/>
                <w:szCs w:val="24"/>
              </w:rPr>
              <w:t>专项经费</w:t>
            </w:r>
            <w:r>
              <w:rPr>
                <w:rFonts w:hint="eastAsia" w:ascii="仿宋" w:hAnsi="仿宋" w:eastAsia="仿宋" w:cs="仿宋"/>
                <w:color w:val="000000"/>
                <w:kern w:val="0"/>
                <w:sz w:val="24"/>
                <w:szCs w:val="24"/>
                <w:lang w:val="en-US" w:eastAsia="zh-CN"/>
              </w:rPr>
              <w:t>3214.02</w:t>
            </w:r>
            <w:r>
              <w:rPr>
                <w:rFonts w:hint="eastAsia" w:ascii="仿宋" w:hAnsi="仿宋" w:eastAsia="仿宋" w:cs="仿宋"/>
                <w:color w:val="000000"/>
                <w:kern w:val="0"/>
                <w:sz w:val="24"/>
                <w:szCs w:val="24"/>
              </w:rPr>
              <w:t>万元，其中禁毒委专项经费300万元、科技强警专项经费</w:t>
            </w:r>
            <w:r>
              <w:rPr>
                <w:rFonts w:hint="eastAsia" w:ascii="仿宋" w:hAnsi="仿宋" w:eastAsia="仿宋" w:cs="仿宋"/>
                <w:color w:val="000000"/>
                <w:kern w:val="0"/>
                <w:sz w:val="24"/>
                <w:szCs w:val="24"/>
                <w:lang w:val="en-US" w:eastAsia="zh-CN"/>
              </w:rPr>
              <w:t>500</w:t>
            </w:r>
            <w:r>
              <w:rPr>
                <w:rFonts w:hint="eastAsia" w:ascii="仿宋" w:hAnsi="仿宋" w:eastAsia="仿宋" w:cs="仿宋"/>
                <w:color w:val="000000"/>
                <w:kern w:val="0"/>
                <w:sz w:val="24"/>
                <w:szCs w:val="24"/>
              </w:rPr>
              <w:t>万元、反恐专项1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0万元、民警</w:t>
            </w:r>
            <w:r>
              <w:rPr>
                <w:rFonts w:hint="eastAsia" w:ascii="仿宋" w:hAnsi="仿宋" w:eastAsia="仿宋" w:cs="仿宋"/>
                <w:color w:val="000000"/>
                <w:kern w:val="0"/>
                <w:sz w:val="24"/>
                <w:szCs w:val="24"/>
                <w:lang w:eastAsia="zh-CN"/>
              </w:rPr>
              <w:t>教育</w:t>
            </w:r>
            <w:r>
              <w:rPr>
                <w:rFonts w:hint="eastAsia" w:ascii="仿宋" w:hAnsi="仿宋" w:eastAsia="仿宋" w:cs="仿宋"/>
                <w:color w:val="000000"/>
                <w:kern w:val="0"/>
                <w:sz w:val="24"/>
                <w:szCs w:val="24"/>
              </w:rPr>
              <w:t>培训专项100万元</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扫黑除恶专项2</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0万元</w:t>
            </w:r>
            <w:r>
              <w:rPr>
                <w:rFonts w:hint="eastAsia" w:ascii="仿宋" w:hAnsi="仿宋" w:eastAsia="仿宋" w:cs="仿宋"/>
                <w:color w:val="000000"/>
                <w:kern w:val="0"/>
                <w:sz w:val="24"/>
                <w:szCs w:val="24"/>
                <w:lang w:eastAsia="zh-CN"/>
              </w:rPr>
              <w:t>、城市快警专项</w:t>
            </w:r>
            <w:r>
              <w:rPr>
                <w:rFonts w:hint="eastAsia" w:ascii="仿宋" w:hAnsi="仿宋" w:eastAsia="仿宋" w:cs="仿宋"/>
                <w:color w:val="000000"/>
                <w:kern w:val="0"/>
                <w:sz w:val="24"/>
                <w:szCs w:val="24"/>
                <w:lang w:val="en-US" w:eastAsia="zh-CN"/>
              </w:rPr>
              <w:t>153万元、给养费（第一看守所）专项229.98万元以及人民警察加班补助、执勤岗位津贴专项1561.04万元</w:t>
            </w:r>
            <w:r>
              <w:rPr>
                <w:rFonts w:hint="eastAsia" w:ascii="仿宋" w:hAnsi="仿宋" w:eastAsia="仿宋" w:cs="仿宋"/>
                <w:color w:val="000000"/>
                <w:kern w:val="0"/>
                <w:sz w:val="24"/>
                <w:szCs w:val="24"/>
              </w:rPr>
              <w:t>。</w:t>
            </w:r>
          </w:p>
          <w:p>
            <w:pPr>
              <w:widowControl/>
              <w:spacing w:line="360" w:lineRule="auto"/>
              <w:ind w:firstLine="480" w:firstLineChars="200"/>
              <w:contextualSpacing/>
              <w:jc w:val="left"/>
              <w:rPr>
                <w:rFonts w:hint="eastAsia" w:ascii="仿宋" w:hAnsi="仿宋" w:eastAsia="仿宋" w:cs="仿宋"/>
                <w:bCs/>
                <w:sz w:val="24"/>
                <w:szCs w:val="24"/>
              </w:rPr>
            </w:pPr>
            <w:r>
              <w:rPr>
                <w:rFonts w:hint="eastAsia" w:ascii="仿宋" w:hAnsi="仿宋" w:eastAsia="仿宋" w:cs="仿宋"/>
                <w:bCs/>
                <w:sz w:val="24"/>
                <w:szCs w:val="24"/>
              </w:rPr>
              <w:t>2、专项资金实际使用情况分析</w:t>
            </w:r>
          </w:p>
          <w:p>
            <w:pPr>
              <w:widowControl/>
              <w:spacing w:line="360" w:lineRule="auto"/>
              <w:ind w:firstLine="480" w:firstLineChars="200"/>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我局202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年度专项支出</w:t>
            </w:r>
            <w:r>
              <w:rPr>
                <w:rFonts w:hint="eastAsia" w:ascii="仿宋" w:hAnsi="仿宋" w:eastAsia="仿宋" w:cs="仿宋"/>
                <w:color w:val="000000"/>
                <w:kern w:val="0"/>
                <w:sz w:val="24"/>
                <w:szCs w:val="24"/>
                <w:lang w:val="en-US" w:eastAsia="zh-CN"/>
              </w:rPr>
              <w:t>3182.65</w:t>
            </w:r>
            <w:r>
              <w:rPr>
                <w:rFonts w:hint="eastAsia" w:ascii="仿宋" w:hAnsi="仿宋" w:eastAsia="仿宋" w:cs="仿宋"/>
                <w:color w:val="000000"/>
                <w:kern w:val="0"/>
                <w:sz w:val="24"/>
                <w:szCs w:val="24"/>
              </w:rPr>
              <w:t>万元，其中禁毒委专项经费300万元</w:t>
            </w:r>
            <w:r>
              <w:rPr>
                <w:rFonts w:hint="eastAsia" w:ascii="仿宋" w:hAnsi="仿宋" w:eastAsia="仿宋" w:cs="仿宋"/>
                <w:color w:val="000000"/>
                <w:kern w:val="0"/>
                <w:sz w:val="24"/>
                <w:szCs w:val="24"/>
                <w:lang w:eastAsia="zh-CN"/>
              </w:rPr>
              <w:t>（转拨至禁毒委账户）</w:t>
            </w:r>
            <w:r>
              <w:rPr>
                <w:rFonts w:hint="eastAsia" w:ascii="仿宋" w:hAnsi="仿宋" w:eastAsia="仿宋" w:cs="仿宋"/>
                <w:color w:val="000000"/>
                <w:kern w:val="0"/>
                <w:sz w:val="24"/>
                <w:szCs w:val="24"/>
              </w:rPr>
              <w:t>、科技强警专项经费</w:t>
            </w:r>
            <w:r>
              <w:rPr>
                <w:rFonts w:hint="eastAsia" w:ascii="仿宋" w:hAnsi="仿宋" w:eastAsia="仿宋" w:cs="仿宋"/>
                <w:color w:val="000000"/>
                <w:kern w:val="0"/>
                <w:sz w:val="24"/>
                <w:szCs w:val="24"/>
                <w:lang w:val="en-US" w:eastAsia="zh-CN"/>
              </w:rPr>
              <w:t>500</w:t>
            </w:r>
            <w:r>
              <w:rPr>
                <w:rFonts w:hint="eastAsia" w:ascii="仿宋" w:hAnsi="仿宋" w:eastAsia="仿宋" w:cs="仿宋"/>
                <w:color w:val="000000"/>
                <w:kern w:val="0"/>
                <w:sz w:val="24"/>
                <w:szCs w:val="24"/>
              </w:rPr>
              <w:t>万元、反恐专项1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0万元、民警</w:t>
            </w:r>
            <w:r>
              <w:rPr>
                <w:rFonts w:hint="eastAsia" w:ascii="仿宋" w:hAnsi="仿宋" w:eastAsia="仿宋" w:cs="仿宋"/>
                <w:color w:val="000000"/>
                <w:kern w:val="0"/>
                <w:sz w:val="24"/>
                <w:szCs w:val="24"/>
                <w:lang w:eastAsia="zh-CN"/>
              </w:rPr>
              <w:t>教育</w:t>
            </w:r>
            <w:r>
              <w:rPr>
                <w:rFonts w:hint="eastAsia" w:ascii="仿宋" w:hAnsi="仿宋" w:eastAsia="仿宋" w:cs="仿宋"/>
                <w:color w:val="000000"/>
                <w:kern w:val="0"/>
                <w:sz w:val="24"/>
                <w:szCs w:val="24"/>
              </w:rPr>
              <w:t>培训专项100万元</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扫黑除恶专项</w:t>
            </w:r>
            <w:r>
              <w:rPr>
                <w:rFonts w:hint="eastAsia" w:ascii="仿宋" w:hAnsi="仿宋" w:eastAsia="仿宋" w:cs="仿宋"/>
                <w:color w:val="000000"/>
                <w:kern w:val="0"/>
                <w:sz w:val="24"/>
                <w:szCs w:val="24"/>
                <w:lang w:val="en-US" w:eastAsia="zh-CN"/>
              </w:rPr>
              <w:t>189.19</w:t>
            </w:r>
            <w:r>
              <w:rPr>
                <w:rFonts w:hint="eastAsia" w:ascii="仿宋" w:hAnsi="仿宋" w:eastAsia="仿宋" w:cs="仿宋"/>
                <w:color w:val="000000"/>
                <w:kern w:val="0"/>
                <w:sz w:val="24"/>
                <w:szCs w:val="24"/>
              </w:rPr>
              <w:t>万元</w:t>
            </w:r>
            <w:r>
              <w:rPr>
                <w:rFonts w:hint="eastAsia" w:ascii="仿宋" w:hAnsi="仿宋" w:eastAsia="仿宋" w:cs="仿宋"/>
                <w:color w:val="000000"/>
                <w:kern w:val="0"/>
                <w:sz w:val="24"/>
                <w:szCs w:val="24"/>
                <w:lang w:eastAsia="zh-CN"/>
              </w:rPr>
              <w:t>、城市快警专项</w:t>
            </w:r>
            <w:r>
              <w:rPr>
                <w:rFonts w:hint="eastAsia" w:ascii="仿宋" w:hAnsi="仿宋" w:eastAsia="仿宋" w:cs="仿宋"/>
                <w:color w:val="000000"/>
                <w:kern w:val="0"/>
                <w:sz w:val="24"/>
                <w:szCs w:val="24"/>
                <w:lang w:val="en-US" w:eastAsia="zh-CN"/>
              </w:rPr>
              <w:t>153万元、给养费（第一看守所）专项229.42万元以及人民警察加班补助、执勤岗位津贴专项1561.04万元</w:t>
            </w:r>
            <w:r>
              <w:rPr>
                <w:rFonts w:hint="eastAsia" w:ascii="仿宋" w:hAnsi="仿宋" w:eastAsia="仿宋" w:cs="仿宋"/>
                <w:color w:val="000000"/>
                <w:kern w:val="0"/>
                <w:sz w:val="24"/>
                <w:szCs w:val="24"/>
              </w:rPr>
              <w:t>。</w:t>
            </w:r>
          </w:p>
          <w:p>
            <w:pPr>
              <w:spacing w:line="560" w:lineRule="exact"/>
              <w:ind w:firstLine="481" w:firstLineChars="200"/>
              <w:rPr>
                <w:rFonts w:hint="eastAsia" w:ascii="仿宋" w:hAnsi="仿宋" w:eastAsia="仿宋" w:cs="仿宋"/>
                <w:bCs/>
                <w:color w:val="FF0000"/>
                <w:sz w:val="24"/>
                <w:szCs w:val="24"/>
              </w:rPr>
            </w:pPr>
            <w:r>
              <w:rPr>
                <w:rFonts w:hint="eastAsia" w:ascii="仿宋" w:hAnsi="仿宋" w:eastAsia="仿宋" w:cs="仿宋"/>
                <w:b/>
                <w:bCs w:val="0"/>
                <w:color w:val="000000" w:themeColor="text1"/>
                <w:sz w:val="24"/>
                <w:szCs w:val="24"/>
                <w14:textFill>
                  <w14:solidFill>
                    <w14:schemeClr w14:val="tx1"/>
                  </w14:solidFill>
                </w14:textFill>
              </w:rPr>
              <w:t>三、部门（单位）专项组织实施情况</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局严格遵守各项财经法规政策规定，建立健全内控管理制度，夯实基础工作，对政府采购规模以上项目，应采尽采，无分割、逃避政府采购的情况。设置内部配套流程，迅速落实电子卖场采购要求。全面落实过“紧日子”要求，切实压缩一般性支出，最大程度发挥资金效益。对专项资金实行全过程绩效管理：</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 w:hAnsi="仿宋" w:eastAsia="仿宋" w:cs="仿宋"/>
                <w:sz w:val="24"/>
                <w:szCs w:val="24"/>
              </w:rPr>
            </w:pPr>
            <w:r>
              <w:rPr>
                <w:rFonts w:hint="eastAsia" w:ascii="仿宋" w:hAnsi="仿宋" w:eastAsia="仿宋" w:cs="仿宋"/>
                <w:sz w:val="24"/>
                <w:szCs w:val="24"/>
              </w:rPr>
              <w:t>1、确定纳入绩效管理的专项资金项目</w:t>
            </w:r>
            <w:r>
              <w:rPr>
                <w:rFonts w:hint="eastAsia" w:ascii="仿宋" w:hAnsi="仿宋" w:eastAsia="仿宋" w:cs="仿宋"/>
                <w:sz w:val="24"/>
                <w:szCs w:val="24"/>
                <w:lang w:eastAsia="zh-CN"/>
              </w:rPr>
              <w:t>。</w:t>
            </w:r>
            <w:r>
              <w:rPr>
                <w:rFonts w:hint="eastAsia" w:ascii="仿宋" w:hAnsi="仿宋" w:eastAsia="仿宋" w:cs="仿宋"/>
                <w:sz w:val="24"/>
                <w:szCs w:val="24"/>
              </w:rPr>
              <w:t>我局根据公安部和省厅加强公安装备建设要求及市局工作规划，按轻重缓急申报专项预算，纳入绩效管理。</w:t>
            </w:r>
          </w:p>
          <w:p>
            <w:pPr>
              <w:keepNext w:val="0"/>
              <w:keepLines w:val="0"/>
              <w:pageBreakBefore w:val="0"/>
              <w:widowControl/>
              <w:kinsoku/>
              <w:wordWrap/>
              <w:overflowPunct/>
              <w:topLinePunct w:val="0"/>
              <w:autoSpaceDE/>
              <w:autoSpaceDN/>
              <w:bidi w:val="0"/>
              <w:adjustRightInd w:val="0"/>
              <w:snapToGrid/>
              <w:spacing w:after="0" w:line="360" w:lineRule="auto"/>
              <w:ind w:left="153" w:leftChars="73" w:firstLine="350" w:firstLineChars="146"/>
              <w:jc w:val="both"/>
              <w:textAlignment w:val="auto"/>
              <w:rPr>
                <w:rFonts w:hint="eastAsia" w:ascii="仿宋" w:hAnsi="仿宋" w:eastAsia="仿宋" w:cs="仿宋"/>
                <w:sz w:val="24"/>
                <w:szCs w:val="24"/>
              </w:rPr>
            </w:pPr>
            <w:r>
              <w:rPr>
                <w:rFonts w:hint="eastAsia" w:ascii="仿宋" w:hAnsi="仿宋" w:eastAsia="仿宋" w:cs="仿宋"/>
                <w:sz w:val="24"/>
                <w:szCs w:val="24"/>
              </w:rPr>
              <w:t>2、确定专项预算的具体项目，并纳入我局年初预算方案。使用专项资金部门提出立项申请，专业技术人员进行可行性论证，再由局党委会讨论确定项目明细。</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_GB2312" w:eastAsia="仿宋_GB2312"/>
                <w:sz w:val="30"/>
                <w:szCs w:val="30"/>
              </w:rPr>
            </w:pPr>
            <w:r>
              <w:rPr>
                <w:rFonts w:hint="eastAsia" w:ascii="仿宋" w:hAnsi="仿宋" w:eastAsia="仿宋" w:cs="仿宋"/>
                <w:sz w:val="24"/>
                <w:szCs w:val="24"/>
              </w:rPr>
              <w:t>3、项目实施，已经立项的采购项目交由市局警保处通过政府采购程序进行采购。设备安装完成后由使用部门的专业人员及安装技术人员联合验收。警保处财务科根据合同和验收报告付款，并预留保证金，项目管理、使用人及时向绩效管理工作组汇报项目实施过程中创造的社会治安管理效益及存在的问题，工作组定期向财政申报绩效跟踪监控管理情况，年末工作组进行绩效评价管理自查自评总结，向财政递交预算绩效管理工作报告。</w:t>
            </w:r>
          </w:p>
          <w:p>
            <w:pPr>
              <w:numPr>
                <w:ilvl w:val="0"/>
                <w:numId w:val="3"/>
              </w:numPr>
              <w:spacing w:line="560" w:lineRule="exact"/>
              <w:ind w:firstLine="481" w:firstLineChars="200"/>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部门（单位）整体支出绩效情况</w:t>
            </w:r>
          </w:p>
          <w:p>
            <w:pPr>
              <w:widowControl/>
              <w:spacing w:line="360" w:lineRule="auto"/>
              <w:ind w:firstLine="480" w:firstLineChars="200"/>
              <w:contextualSpacing/>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根据《部门整体支出绩效评价指标》评分，得分9</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分，绩效评价等级为“优”。主要绩效如下：</w:t>
            </w:r>
          </w:p>
          <w:p>
            <w:pPr>
              <w:widowControl/>
              <w:spacing w:line="360" w:lineRule="auto"/>
              <w:ind w:firstLine="480" w:firstLineChars="200"/>
              <w:contextualSpacing/>
              <w:jc w:val="left"/>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 w:eastAsia="zh-CN"/>
              </w:rPr>
              <w:t>维稳安保方面。坚持“稳”字当头，以推进各类专项行动为契机，扎实做好源头治理和重点稳控工作，</w:t>
            </w:r>
            <w:r>
              <w:rPr>
                <w:rFonts w:hint="eastAsia" w:ascii="仿宋" w:hAnsi="仿宋" w:eastAsia="仿宋" w:cs="宋体"/>
                <w:kern w:val="0"/>
                <w:sz w:val="24"/>
                <w:szCs w:val="24"/>
                <w:lang w:val="en-US" w:eastAsia="zh-CN"/>
              </w:rPr>
              <w:t>有力捍卫政治安全，探索推进信访、维稳机制有机融合，有效防范化解社会面风险，确保了全市社会大局平稳可控。</w:t>
            </w:r>
          </w:p>
          <w:p>
            <w:pPr>
              <w:widowControl/>
              <w:spacing w:line="360" w:lineRule="auto"/>
              <w:ind w:firstLine="480" w:firstLineChars="200"/>
              <w:contextualSpacing/>
              <w:jc w:val="left"/>
              <w:rPr>
                <w:rFonts w:hint="default" w:ascii="仿宋" w:hAnsi="仿宋" w:eastAsia="仿宋" w:cs="宋体"/>
                <w:color w:val="000000" w:themeColor="text1"/>
                <w:kern w:val="0"/>
                <w:sz w:val="24"/>
                <w:szCs w:val="24"/>
                <w:lang w:val="en-US" w:eastAsia="zh-CN"/>
                <w14:textFill>
                  <w14:solidFill>
                    <w14:schemeClr w14:val="tx1"/>
                  </w14:solidFill>
                </w14:textFill>
              </w:rPr>
            </w:pPr>
            <w:r>
              <w:rPr>
                <w:rFonts w:hint="eastAsia" w:ascii="仿宋" w:hAnsi="仿宋" w:eastAsia="仿宋" w:cs="宋体"/>
                <w:kern w:val="0"/>
                <w:sz w:val="24"/>
                <w:szCs w:val="24"/>
                <w:lang w:val="en-US" w:eastAsia="zh-CN"/>
              </w:rPr>
              <w:t>打击违法犯罪方面。集中打击“盗抢骗”“黄赌毒”“食药环”等违法犯罪，常态化开展扫黑除恶斗争。全年</w:t>
            </w:r>
            <w:r>
              <w:rPr>
                <w:rFonts w:hint="eastAsia" w:ascii="仿宋" w:hAnsi="仿宋" w:eastAsia="仿宋" w:cs="宋体"/>
                <w:color w:val="000000" w:themeColor="text1"/>
                <w:kern w:val="0"/>
                <w:sz w:val="24"/>
                <w:szCs w:val="24"/>
                <w14:textFill>
                  <w14:solidFill>
                    <w14:schemeClr w14:val="tx1"/>
                  </w14:solidFill>
                </w14:textFill>
              </w:rPr>
              <w:t>刑事拘留</w:t>
            </w:r>
            <w:r>
              <w:rPr>
                <w:rFonts w:hint="eastAsia" w:ascii="仿宋" w:hAnsi="仿宋" w:eastAsia="仿宋" w:cs="宋体"/>
                <w:color w:val="000000" w:themeColor="text1"/>
                <w:kern w:val="0"/>
                <w:sz w:val="24"/>
                <w:szCs w:val="24"/>
                <w:lang w:val="en-US" w:eastAsia="zh-CN"/>
                <w14:textFill>
                  <w14:solidFill>
                    <w14:schemeClr w14:val="tx1"/>
                  </w14:solidFill>
                </w14:textFill>
              </w:rPr>
              <w:t>7291</w:t>
            </w:r>
            <w:r>
              <w:rPr>
                <w:rFonts w:hint="eastAsia" w:ascii="仿宋" w:hAnsi="仿宋" w:eastAsia="仿宋" w:cs="宋体"/>
                <w:color w:val="000000" w:themeColor="text1"/>
                <w:kern w:val="0"/>
                <w:sz w:val="24"/>
                <w:szCs w:val="24"/>
                <w14:textFill>
                  <w14:solidFill>
                    <w14:schemeClr w14:val="tx1"/>
                  </w14:solidFill>
                </w14:textFill>
              </w:rPr>
              <w:t>人，逮捕</w:t>
            </w:r>
            <w:r>
              <w:rPr>
                <w:rFonts w:hint="eastAsia" w:ascii="仿宋" w:hAnsi="仿宋" w:eastAsia="仿宋" w:cs="宋体"/>
                <w:color w:val="000000" w:themeColor="text1"/>
                <w:kern w:val="0"/>
                <w:sz w:val="24"/>
                <w:szCs w:val="24"/>
                <w:lang w:val="en-US" w:eastAsia="zh-CN"/>
                <w14:textFill>
                  <w14:solidFill>
                    <w14:schemeClr w14:val="tx1"/>
                  </w14:solidFill>
                </w14:textFill>
              </w:rPr>
              <w:t>3782</w:t>
            </w:r>
            <w:r>
              <w:rPr>
                <w:rFonts w:hint="eastAsia" w:ascii="仿宋" w:hAnsi="仿宋" w:eastAsia="仿宋" w:cs="宋体"/>
                <w:color w:val="000000" w:themeColor="text1"/>
                <w:kern w:val="0"/>
                <w:sz w:val="24"/>
                <w:szCs w:val="24"/>
                <w14:textFill>
                  <w14:solidFill>
                    <w14:schemeClr w14:val="tx1"/>
                  </w14:solidFill>
                </w14:textFill>
              </w:rPr>
              <w:t>人、移送起诉</w:t>
            </w:r>
            <w:r>
              <w:rPr>
                <w:rFonts w:hint="eastAsia" w:ascii="仿宋" w:hAnsi="仿宋" w:eastAsia="仿宋" w:cs="宋体"/>
                <w:color w:val="000000" w:themeColor="text1"/>
                <w:kern w:val="0"/>
                <w:sz w:val="24"/>
                <w:szCs w:val="24"/>
                <w:lang w:val="en-US" w:eastAsia="zh-CN"/>
                <w14:textFill>
                  <w14:solidFill>
                    <w14:schemeClr w14:val="tx1"/>
                  </w14:solidFill>
                </w14:textFill>
              </w:rPr>
              <w:t>6632</w:t>
            </w:r>
            <w:r>
              <w:rPr>
                <w:rFonts w:hint="eastAsia" w:ascii="仿宋" w:hAnsi="仿宋" w:eastAsia="仿宋" w:cs="宋体"/>
                <w:color w:val="000000" w:themeColor="text1"/>
                <w:kern w:val="0"/>
                <w:sz w:val="24"/>
                <w:szCs w:val="24"/>
                <w14:textFill>
                  <w14:solidFill>
                    <w14:schemeClr w14:val="tx1"/>
                  </w14:solidFill>
                </w14:textFill>
              </w:rPr>
              <w:t>人。</w:t>
            </w:r>
            <w:r>
              <w:rPr>
                <w:rFonts w:hint="eastAsia" w:ascii="仿宋" w:hAnsi="仿宋" w:eastAsia="仿宋" w:cs="宋体"/>
                <w:color w:val="000000" w:themeColor="text1"/>
                <w:kern w:val="0"/>
                <w:sz w:val="24"/>
                <w:szCs w:val="24"/>
                <w:lang w:eastAsia="zh-CN"/>
                <w14:textFill>
                  <w14:solidFill>
                    <w14:schemeClr w14:val="tx1"/>
                  </w14:solidFill>
                </w14:textFill>
              </w:rPr>
              <w:t>打击电信网络犯罪战果丰硕，破案数和刑拘数同比分别上升</w:t>
            </w:r>
            <w:r>
              <w:rPr>
                <w:rFonts w:hint="eastAsia" w:ascii="仿宋" w:hAnsi="仿宋" w:eastAsia="仿宋" w:cs="宋体"/>
                <w:color w:val="000000" w:themeColor="text1"/>
                <w:kern w:val="0"/>
                <w:sz w:val="24"/>
                <w:szCs w:val="24"/>
                <w:lang w:val="en-US" w:eastAsia="zh-CN"/>
                <w14:textFill>
                  <w14:solidFill>
                    <w14:schemeClr w14:val="tx1"/>
                  </w14:solidFill>
                </w14:textFill>
              </w:rPr>
              <w:t>274.9%、275.6%。百日“净风1号”行动取得阶段性胜利，打击处理各类违法犯罪嫌疑人4591名。</w:t>
            </w:r>
          </w:p>
          <w:p>
            <w:pPr>
              <w:widowControl/>
              <w:spacing w:line="360" w:lineRule="auto"/>
              <w:ind w:firstLine="480" w:firstLineChars="200"/>
              <w:contextualSpacing/>
              <w:jc w:val="left"/>
              <w:rPr>
                <w:rFonts w:hint="eastAsia" w:ascii="仿宋" w:hAnsi="仿宋" w:eastAsia="仿宋" w:cs="宋体"/>
                <w:color w:val="000000" w:themeColor="text1"/>
                <w:kern w:val="0"/>
                <w:sz w:val="24"/>
                <w:szCs w:val="24"/>
                <w:lang w:val="en-US" w:eastAsia="zh-CN"/>
                <w14:textFill>
                  <w14:solidFill>
                    <w14:schemeClr w14:val="tx1"/>
                  </w14:solidFill>
                </w14:textFill>
              </w:rPr>
            </w:pPr>
            <w:r>
              <w:rPr>
                <w:rFonts w:hint="eastAsia" w:ascii="仿宋" w:hAnsi="仿宋" w:eastAsia="仿宋" w:cs="宋体"/>
                <w:color w:val="000000"/>
                <w:kern w:val="0"/>
                <w:sz w:val="24"/>
                <w:szCs w:val="24"/>
                <w:lang w:eastAsia="zh-CN"/>
              </w:rPr>
              <w:t>新冠疫情防控方面。全力做好疫情联防联控和流调溯源等工作，有效切断了病源传播途径，为全市实现“零感染”目标贡献了公安力量。</w:t>
            </w:r>
          </w:p>
          <w:p>
            <w:pPr>
              <w:widowControl/>
              <w:spacing w:line="360" w:lineRule="auto"/>
              <w:ind w:firstLine="480" w:firstLineChars="200"/>
              <w:contextualSpacing/>
              <w:jc w:val="left"/>
              <w:rPr>
                <w:rFonts w:hint="default" w:ascii="仿宋" w:hAnsi="仿宋" w:eastAsia="仿宋" w:cs="宋体"/>
                <w:color w:val="000000" w:themeColor="text1"/>
                <w:kern w:val="0"/>
                <w:sz w:val="24"/>
                <w:szCs w:val="24"/>
                <w:lang w:val="en-US" w:eastAsia="zh-CN"/>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推进公安改革方面。有序推进法治公安建设和基层基础建设，出台《岳阳市局重大执法决定法制审核工作规定》、《岳阳市公安机关人民警察执法过错责任追究实施办法》，初步构建执法大监督格局，健全完善侦审指导一体化机制，成立检察、公安侦查监督与协作配合办公室。创新水域治安“四位一体”综合治理机制，圆满完成乡村“雪亮工程”建设，治理6.3万余条视图数据，投入8700万元全面加强技侦手段建设。</w:t>
            </w:r>
          </w:p>
          <w:p>
            <w:pPr>
              <w:spacing w:line="560" w:lineRule="exact"/>
              <w:ind w:firstLine="48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themeColor="text1"/>
                <w:kern w:val="0"/>
                <w:sz w:val="24"/>
                <w:szCs w:val="24"/>
                <w:lang w:val="en-US" w:eastAsia="zh-CN"/>
                <w14:textFill>
                  <w14:solidFill>
                    <w14:schemeClr w14:val="tx1"/>
                  </w14:solidFill>
                </w14:textFill>
              </w:rPr>
              <w:t>2021年，岳阳市公安局在市委、市政府和省公安厅坚强领导下，</w:t>
            </w:r>
            <w:r>
              <w:rPr>
                <w:rFonts w:hint="eastAsia" w:ascii="仿宋" w:hAnsi="仿宋" w:eastAsia="仿宋" w:cs="宋体"/>
                <w:color w:val="000000"/>
                <w:kern w:val="0"/>
                <w:sz w:val="24"/>
                <w:szCs w:val="24"/>
                <w:lang w:eastAsia="zh-CN"/>
              </w:rPr>
              <w:t>以坚持政治建警全面从严治警为统领，以打击犯罪和队伍建设为着力点，统筹安保维稳、疫情防控、公安改革、基础建设等重点工作，有力维护了全市政治安全、社会安定、人民安宁。同时厉行节约，严格压减一般性支出，实现了资金效益的最大化。</w:t>
            </w:r>
          </w:p>
          <w:p>
            <w:pPr>
              <w:spacing w:line="560" w:lineRule="exact"/>
              <w:ind w:firstLine="481" w:firstLineChars="200"/>
              <w:rPr>
                <w:rFonts w:hint="eastAsia" w:ascii="仿宋" w:hAnsi="仿宋" w:eastAsia="仿宋" w:cs="仿宋"/>
                <w:b/>
                <w:bCs w:val="0"/>
                <w:sz w:val="24"/>
                <w:szCs w:val="24"/>
                <w:lang w:eastAsia="zh-CN"/>
              </w:rPr>
            </w:pPr>
            <w:r>
              <w:rPr>
                <w:rFonts w:hint="eastAsia" w:ascii="仿宋" w:hAnsi="仿宋" w:eastAsia="仿宋" w:cs="仿宋"/>
                <w:b/>
                <w:bCs w:val="0"/>
                <w:sz w:val="24"/>
                <w:szCs w:val="24"/>
              </w:rPr>
              <w:t>五、存在的</w:t>
            </w:r>
            <w:r>
              <w:rPr>
                <w:rFonts w:hint="eastAsia" w:ascii="仿宋" w:hAnsi="仿宋" w:eastAsia="仿宋" w:cs="仿宋"/>
                <w:b/>
                <w:bCs w:val="0"/>
                <w:sz w:val="24"/>
                <w:szCs w:val="24"/>
                <w:lang w:eastAsia="zh-CN"/>
              </w:rPr>
              <w:t>问题和建议</w:t>
            </w:r>
          </w:p>
          <w:p>
            <w:pPr>
              <w:spacing w:line="560" w:lineRule="exact"/>
              <w:ind w:firstLine="480" w:firstLineChars="200"/>
              <w:rPr>
                <w:rFonts w:hint="eastAsia" w:ascii="仿宋" w:hAnsi="仿宋" w:eastAsia="仿宋" w:cs="宋体"/>
                <w:color w:val="000000" w:themeColor="text1"/>
                <w:kern w:val="0"/>
                <w:sz w:val="24"/>
                <w:szCs w:val="24"/>
                <w:lang w:val="en-US" w:eastAsia="zh-CN"/>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近年来，我局在科技强警上投入大量资金，对我局科技项目进行采购和更新，几乎所有业务部门都有相应的业务装备和系统需要采购，我局按轻重缓急的原则已采购大量重点设备，新的设备及系统建成使用后要求对民警进行相应培训，实战应用中的技能考核、后续设备的升级及维护，公安部及省公安厅要求尚需建设的其他业务系统等还需大量资金。此外，全市无房、危房派出所仍然存在，基础建设底子薄、欠账多、跟不上等问题还较为突出。我局经费主要来自财政拨款，故需财政逐年加大对科技强警项目和基础建设项目的投入，实现新时期公安工作的跨越式发展。</w:t>
            </w:r>
          </w:p>
          <w:p>
            <w:pPr>
              <w:rPr>
                <w:rFonts w:eastAsia="楷体_GB2312"/>
                <w:bCs/>
                <w:sz w:val="28"/>
                <w:szCs w:val="28"/>
              </w:rPr>
            </w:pPr>
          </w:p>
        </w:tc>
      </w:tr>
    </w:tbl>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ascii="仿宋_GB2312" w:hAnsi="仿宋" w:eastAsia="仿宋_GB2312" w:cs="仿宋"/>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仿宋" w:eastAsia="仿宋_GB2312" w:cs="仿宋"/>
                <w:color w:val="000000"/>
                <w:kern w:val="0"/>
                <w:sz w:val="18"/>
                <w:szCs w:val="18"/>
              </w:rPr>
              <w:t>公安业务存在突发情况多、专项任务多的特殊性，财政及上级单位追加下达经费较多</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仿宋" w:eastAsia="仿宋_GB2312" w:cs="仿宋"/>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仿宋" w:eastAsia="仿宋_GB2312" w:cs="仿宋"/>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482"/>
        <w:gridCol w:w="4078"/>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0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0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3"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0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6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职责履行</w:t>
            </w:r>
            <w:r>
              <w:rPr>
                <w:rFonts w:hint="eastAsia" w:ascii="仿宋_GB2312" w:hAnsi="宋体" w:eastAsia="仿宋_GB2312" w:cs="宋体"/>
                <w:kern w:val="0"/>
                <w:sz w:val="18"/>
                <w:szCs w:val="18"/>
                <w:highlight w:val="none"/>
              </w:rPr>
              <w:br w:type="textWrapping"/>
            </w:r>
            <w:r>
              <w:rPr>
                <w:rFonts w:hint="eastAsia" w:ascii="仿宋_GB2312" w:hAnsi="宋体" w:eastAsia="仿宋_GB2312" w:cs="宋体"/>
                <w:kern w:val="0"/>
                <w:sz w:val="18"/>
                <w:szCs w:val="18"/>
                <w:highlight w:val="none"/>
              </w:rPr>
              <w:t>（25分）</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w:t>
            </w:r>
            <w:r>
              <w:rPr>
                <w:rFonts w:hint="eastAsia" w:ascii="仿宋_GB2312" w:hAnsi="仿宋" w:eastAsia="仿宋_GB2312" w:cs="仿宋"/>
                <w:kern w:val="0"/>
                <w:sz w:val="18"/>
                <w:szCs w:val="18"/>
                <w:lang w:eastAsia="zh-CN"/>
              </w:rPr>
              <w:t>取得突出成绩</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《政府工作报告》目标任务完成情况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依法稳妥维护好全市政治大局稳定，预防、制止和侦查违法犯罪活动、维护社会治安秩序</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37"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省市重点民生实事完成情况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开展集打斗争，保持对涉毒、盗抢、电信诈骗、涉黄涉赌、涉枪涉爆等突出违法犯罪的高压严打态势。</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8"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省市重点工程和重大项目建设完成情况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破获一批在全国、全省有重大影响的大要案件</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其他工作实绩指标完成情况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加强反恐、消防、交通安全治安防范工作</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0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07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07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07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4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eastAsia="黑体" w:cs="黑体"/>
          <w:bCs/>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58025"/>
    <w:multiLevelType w:val="singleLevel"/>
    <w:tmpl w:val="FE958025"/>
    <w:lvl w:ilvl="0" w:tentative="0">
      <w:start w:val="4"/>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2">
    <w:nsid w:val="5B17CE34"/>
    <w:multiLevelType w:val="singleLevel"/>
    <w:tmpl w:val="5B17CE3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efaultTabStop w:val="42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2EC8"/>
    <w:rsid w:val="0017567A"/>
    <w:rsid w:val="001767DA"/>
    <w:rsid w:val="00176999"/>
    <w:rsid w:val="00177AAB"/>
    <w:rsid w:val="00177B4F"/>
    <w:rsid w:val="00180C85"/>
    <w:rsid w:val="00182471"/>
    <w:rsid w:val="0018432B"/>
    <w:rsid w:val="00184B97"/>
    <w:rsid w:val="00185ECC"/>
    <w:rsid w:val="0019359F"/>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604F"/>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373"/>
    <w:rsid w:val="00342F27"/>
    <w:rsid w:val="00343E6F"/>
    <w:rsid w:val="003543F8"/>
    <w:rsid w:val="003553B0"/>
    <w:rsid w:val="00356327"/>
    <w:rsid w:val="00356FB0"/>
    <w:rsid w:val="00362D7C"/>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311D"/>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A87"/>
    <w:rsid w:val="00817FB7"/>
    <w:rsid w:val="008228CB"/>
    <w:rsid w:val="00823B8A"/>
    <w:rsid w:val="008256F2"/>
    <w:rsid w:val="00825D5B"/>
    <w:rsid w:val="00826475"/>
    <w:rsid w:val="008302E3"/>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34E"/>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E70B8"/>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1F2"/>
    <w:rsid w:val="00C4231F"/>
    <w:rsid w:val="00C42C0F"/>
    <w:rsid w:val="00C44F7C"/>
    <w:rsid w:val="00C453ED"/>
    <w:rsid w:val="00C51945"/>
    <w:rsid w:val="00C51AF3"/>
    <w:rsid w:val="00C52A77"/>
    <w:rsid w:val="00C55928"/>
    <w:rsid w:val="00C567D4"/>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236"/>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D83"/>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4843"/>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671A"/>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C708F"/>
    <w:rsid w:val="00ED1216"/>
    <w:rsid w:val="00ED22E6"/>
    <w:rsid w:val="00ED5711"/>
    <w:rsid w:val="00ED5D51"/>
    <w:rsid w:val="00ED7041"/>
    <w:rsid w:val="00EE0EC3"/>
    <w:rsid w:val="00EE3B66"/>
    <w:rsid w:val="00EE4F4D"/>
    <w:rsid w:val="00EF0C12"/>
    <w:rsid w:val="00EF231E"/>
    <w:rsid w:val="00EF294C"/>
    <w:rsid w:val="00EF3DA8"/>
    <w:rsid w:val="00EF77F1"/>
    <w:rsid w:val="00EF7F6D"/>
    <w:rsid w:val="00F030EE"/>
    <w:rsid w:val="00F051EF"/>
    <w:rsid w:val="00F06216"/>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3220"/>
    <w:rsid w:val="00F74924"/>
    <w:rsid w:val="00F75464"/>
    <w:rsid w:val="00F76915"/>
    <w:rsid w:val="00F7710B"/>
    <w:rsid w:val="00F80802"/>
    <w:rsid w:val="00F81454"/>
    <w:rsid w:val="00F81CBB"/>
    <w:rsid w:val="00F853EC"/>
    <w:rsid w:val="00F8549E"/>
    <w:rsid w:val="00F87499"/>
    <w:rsid w:val="00F905B2"/>
    <w:rsid w:val="00F92621"/>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0135"/>
    <w:rsid w:val="00FE12FD"/>
    <w:rsid w:val="00FE14D3"/>
    <w:rsid w:val="00FE19EB"/>
    <w:rsid w:val="00FE3D9E"/>
    <w:rsid w:val="00FF1172"/>
    <w:rsid w:val="00FF3FE2"/>
    <w:rsid w:val="00FF4BBA"/>
    <w:rsid w:val="00FF6034"/>
    <w:rsid w:val="00FF7685"/>
    <w:rsid w:val="00FF774A"/>
    <w:rsid w:val="011263D1"/>
    <w:rsid w:val="02324195"/>
    <w:rsid w:val="0EA5575E"/>
    <w:rsid w:val="169441A5"/>
    <w:rsid w:val="1DFF4658"/>
    <w:rsid w:val="289A1CB0"/>
    <w:rsid w:val="29E5392E"/>
    <w:rsid w:val="2DEF5213"/>
    <w:rsid w:val="31EFAAE1"/>
    <w:rsid w:val="37AF18E2"/>
    <w:rsid w:val="39F69D22"/>
    <w:rsid w:val="3ABFEB98"/>
    <w:rsid w:val="3BEF8404"/>
    <w:rsid w:val="3E2D2A1D"/>
    <w:rsid w:val="3E7FA992"/>
    <w:rsid w:val="3EBF4C17"/>
    <w:rsid w:val="3FDD7A75"/>
    <w:rsid w:val="3FEC32EC"/>
    <w:rsid w:val="47F68F0D"/>
    <w:rsid w:val="49FC5C10"/>
    <w:rsid w:val="4BF71CA5"/>
    <w:rsid w:val="4D1E183D"/>
    <w:rsid w:val="4E9A5DD4"/>
    <w:rsid w:val="539537FA"/>
    <w:rsid w:val="57F4D9FE"/>
    <w:rsid w:val="59D9B15F"/>
    <w:rsid w:val="5C0E4D81"/>
    <w:rsid w:val="5D571068"/>
    <w:rsid w:val="5DEED18F"/>
    <w:rsid w:val="5DEFE424"/>
    <w:rsid w:val="5EAFBEE3"/>
    <w:rsid w:val="5EFB523F"/>
    <w:rsid w:val="5F302BF0"/>
    <w:rsid w:val="5FD5F3F6"/>
    <w:rsid w:val="5FDF1D03"/>
    <w:rsid w:val="5FF34776"/>
    <w:rsid w:val="62F7BE5C"/>
    <w:rsid w:val="63FE78ED"/>
    <w:rsid w:val="67AFFC29"/>
    <w:rsid w:val="67F4EB7E"/>
    <w:rsid w:val="6A3912F3"/>
    <w:rsid w:val="6AEF9896"/>
    <w:rsid w:val="6C3E062B"/>
    <w:rsid w:val="6F751B38"/>
    <w:rsid w:val="6F7756D9"/>
    <w:rsid w:val="6F7FC15C"/>
    <w:rsid w:val="6FD904BA"/>
    <w:rsid w:val="75FB0EE3"/>
    <w:rsid w:val="75FF0BAA"/>
    <w:rsid w:val="77A911B0"/>
    <w:rsid w:val="77D50576"/>
    <w:rsid w:val="77E4E17D"/>
    <w:rsid w:val="77FF304A"/>
    <w:rsid w:val="78DF94B8"/>
    <w:rsid w:val="7AD7C635"/>
    <w:rsid w:val="7BAC0E71"/>
    <w:rsid w:val="7BD5AB27"/>
    <w:rsid w:val="7BEE705F"/>
    <w:rsid w:val="7CFD6238"/>
    <w:rsid w:val="7D9D455F"/>
    <w:rsid w:val="7DBF6D64"/>
    <w:rsid w:val="7DD1C1EA"/>
    <w:rsid w:val="7DD55C8D"/>
    <w:rsid w:val="7DD580FB"/>
    <w:rsid w:val="7DFF5875"/>
    <w:rsid w:val="7E53D1D2"/>
    <w:rsid w:val="7EB67E29"/>
    <w:rsid w:val="7ED748B5"/>
    <w:rsid w:val="7EEF830D"/>
    <w:rsid w:val="7FBF79E7"/>
    <w:rsid w:val="7FBFA5EA"/>
    <w:rsid w:val="7FBFDD97"/>
    <w:rsid w:val="7FFED25C"/>
    <w:rsid w:val="7FFF530E"/>
    <w:rsid w:val="7FFFB576"/>
    <w:rsid w:val="8F5F7F9E"/>
    <w:rsid w:val="94BF2ABE"/>
    <w:rsid w:val="95FAC4B1"/>
    <w:rsid w:val="9DC96043"/>
    <w:rsid w:val="AE6248B1"/>
    <w:rsid w:val="AFCBF281"/>
    <w:rsid w:val="B3EFE9E3"/>
    <w:rsid w:val="B8349BFE"/>
    <w:rsid w:val="BB9F8A05"/>
    <w:rsid w:val="BBBFFD64"/>
    <w:rsid w:val="BCEA18F9"/>
    <w:rsid w:val="BDBFD823"/>
    <w:rsid w:val="BDFE546E"/>
    <w:rsid w:val="BF3B0A4F"/>
    <w:rsid w:val="BF7F367C"/>
    <w:rsid w:val="BF962527"/>
    <w:rsid w:val="CAFF556B"/>
    <w:rsid w:val="D7BE0CE1"/>
    <w:rsid w:val="D7E5248F"/>
    <w:rsid w:val="DBEFD0F4"/>
    <w:rsid w:val="DCFFD279"/>
    <w:rsid w:val="DF7E0655"/>
    <w:rsid w:val="DFD9A078"/>
    <w:rsid w:val="DFFEDB03"/>
    <w:rsid w:val="E57A2C6F"/>
    <w:rsid w:val="ED776F58"/>
    <w:rsid w:val="EDFF447B"/>
    <w:rsid w:val="EE6F4522"/>
    <w:rsid w:val="EEFC1920"/>
    <w:rsid w:val="EF4E2085"/>
    <w:rsid w:val="EFFC7D14"/>
    <w:rsid w:val="F1E7C29C"/>
    <w:rsid w:val="F3DFB5F3"/>
    <w:rsid w:val="F3F5BD2B"/>
    <w:rsid w:val="F5DDB51B"/>
    <w:rsid w:val="F66BEAC3"/>
    <w:rsid w:val="FA3B06A0"/>
    <w:rsid w:val="FADB58D5"/>
    <w:rsid w:val="FAED63AB"/>
    <w:rsid w:val="FB9D986A"/>
    <w:rsid w:val="FBFDDD18"/>
    <w:rsid w:val="FBFF0732"/>
    <w:rsid w:val="FDCE5D57"/>
    <w:rsid w:val="FDEBD621"/>
    <w:rsid w:val="FEFC7D4D"/>
    <w:rsid w:val="FF9F3BBB"/>
    <w:rsid w:val="FFED2DE8"/>
    <w:rsid w:val="FFEFEC84"/>
    <w:rsid w:val="FFF3C8D2"/>
    <w:rsid w:val="FFF54D67"/>
    <w:rsid w:val="FFFD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2"/>
    <w:basedOn w:val="1"/>
    <w:link w:val="15"/>
    <w:unhideWhenUsed/>
    <w:qFormat/>
    <w:uiPriority w:val="99"/>
    <w:pPr>
      <w:ind w:firstLine="588" w:firstLineChars="200"/>
    </w:pPr>
    <w:rPr>
      <w:rFonts w:ascii="仿宋_GB2312" w:hAnsi="Calibri" w:eastAsia="仿宋_GB2312"/>
      <w:sz w:val="32"/>
    </w:rPr>
  </w:style>
  <w:style w:type="paragraph" w:styleId="4">
    <w:name w:val="Balloon Text"/>
    <w:basedOn w:val="1"/>
    <w:link w:val="18"/>
    <w:semiHidden/>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page number"/>
    <w:qFormat/>
    <w:uiPriority w:val="0"/>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字符"/>
    <w:basedOn w:val="9"/>
    <w:link w:val="3"/>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字符"/>
    <w:basedOn w:val="9"/>
    <w:link w:val="4"/>
    <w:semiHidden/>
    <w:qFormat/>
    <w:uiPriority w:val="0"/>
    <w:rPr>
      <w:rFonts w:ascii="Times New Roman" w:hAnsi="Times New Roman" w:eastAsia="宋体" w:cs="Times New Roman"/>
      <w:sz w:val="18"/>
      <w:szCs w:val="18"/>
    </w:rPr>
  </w:style>
  <w:style w:type="character" w:customStyle="1" w:styleId="19">
    <w:name w:val="font03"/>
    <w:qFormat/>
    <w:uiPriority w:val="99"/>
  </w:style>
  <w:style w:type="paragraph" w:customStyle="1" w:styleId="20">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4834</Words>
  <Characters>27556</Characters>
  <Lines>229</Lines>
  <Paragraphs>64</Paragraphs>
  <TotalTime>129</TotalTime>
  <ScaleCrop>false</ScaleCrop>
  <LinksUpToDate>false</LinksUpToDate>
  <CharactersWithSpaces>32326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2021-06-07T17:03:00Z</dcterms:created>
  <dc:creator>User</dc:creator>
  <cp:lastModifiedBy>xjkp</cp:lastModifiedBy>
  <cp:lastPrinted>2022-06-11T18:03:00Z</cp:lastPrinted>
  <dcterms:modified xsi:type="dcterms:W3CDTF">2022-09-28T14:21:39Z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