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公安局机场分局2021年度单位预算公开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2021年单位预算说明</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第二部分  单位预算公开表格</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一、收支总表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二十四、一般公共预算基本支出总表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岳阳市公安局三荷机场分局负责本机场范围内的空防、治安、交通管理工作。处置非法干扰民用航空安全事件，维护机场范围道路交通，治安秩序；预防及侦破危害民用航空安全犯罪和机场范围内的其他刑事犯罪案件，负责监督指导机场安全检查工作，承担安全检查现场执勤，维护安全检查现场秩序，监视进、出港旅客中对航空安全可能构成威胁的人；与机场管理机构、公共航空运输企业、保安服务机构等共同制定应急预案，以应对并控制劫持、破坏、爆炸或其他威胁；对发生在机场的重大事件提供快速武装反应；负责辖区内专机地面安全警卫工作；处理其他影响机场安全的事项和上级民航公安机关交办的其他有关航空安全事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岳阳市公安局三荷机场分局为岳阳市公安局派出机构，正科级，经中共岳阳市委机构编制委员会办公室核定政法专项编制30名，其中局长、政委各1名，副局长2名。下设4个副科级机构，即指挥保障室、机场派出所、案件侦察大队、交警大队，共核定副科级领导职数7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numPr>
                <w:ilvl w:val="0"/>
                <w:numId w:val="2"/>
              </w:numPr>
              <w:suppressLineNumbers w:val="0"/>
              <w:ind w:left="560" w:leftChars="0" w:firstLine="0" w:firstLineChars="0"/>
              <w:jc w:val="left"/>
              <w:textAlignment w:val="center"/>
              <w:rPr>
                <w:rFonts w:hint="eastAsia" w:ascii="黑体" w:hAnsi="宋体" w:eastAsia="黑体" w:cs="黑体"/>
                <w:i w:val="0"/>
                <w:iCs w:val="0"/>
                <w:color w:val="auto"/>
                <w:kern w:val="0"/>
                <w:sz w:val="28"/>
                <w:szCs w:val="28"/>
                <w:u w:val="none"/>
                <w:lang w:val="en-US" w:eastAsia="zh-CN" w:bidi="ar"/>
              </w:rPr>
            </w:pPr>
            <w:r>
              <w:rPr>
                <w:rFonts w:hint="eastAsia" w:ascii="黑体" w:hAnsi="宋体" w:eastAsia="黑体" w:cs="黑体"/>
                <w:i w:val="0"/>
                <w:iCs w:val="0"/>
                <w:color w:val="auto"/>
                <w:kern w:val="0"/>
                <w:sz w:val="28"/>
                <w:szCs w:val="28"/>
                <w:u w:val="none"/>
                <w:lang w:val="en-US" w:eastAsia="zh-CN" w:bidi="ar"/>
              </w:rPr>
              <w:t>单位收支总体情况</w:t>
            </w:r>
          </w:p>
          <w:p>
            <w:pPr>
              <w:keepNext w:val="0"/>
              <w:keepLines w:val="0"/>
              <w:widowControl/>
              <w:numPr>
                <w:ilvl w:val="0"/>
                <w:numId w:val="0"/>
              </w:numPr>
              <w:suppressLineNumbers w:val="0"/>
              <w:ind w:left="560" w:leftChars="0"/>
              <w:jc w:val="left"/>
              <w:textAlignment w:val="center"/>
              <w:rPr>
                <w:rFonts w:hint="eastAsia" w:ascii="仿宋" w:hAnsi="仿宋" w:eastAsia="仿宋" w:cs="仿宋"/>
                <w:i w:val="0"/>
                <w:iCs w:val="0"/>
                <w:color w:val="auto"/>
                <w:kern w:val="0"/>
                <w:sz w:val="28"/>
                <w:szCs w:val="28"/>
                <w:u w:val="none"/>
                <w:lang w:val="en-US" w:eastAsia="zh-CN" w:bidi="ar"/>
              </w:rPr>
            </w:pPr>
            <w:r>
              <w:rPr>
                <w:rFonts w:hint="eastAsia" w:ascii="仿宋" w:hAnsi="仿宋" w:eastAsia="仿宋" w:cs="仿宋"/>
                <w:i w:val="0"/>
                <w:iCs w:val="0"/>
                <w:color w:val="auto"/>
                <w:kern w:val="0"/>
                <w:sz w:val="28"/>
                <w:szCs w:val="28"/>
                <w:u w:val="none"/>
                <w:lang w:val="en-US" w:eastAsia="zh-CN" w:bidi="ar"/>
              </w:rPr>
              <w:t>本单位为二级预算单位，没有预算独立、财务独立核算的下属预算单位，因</w:t>
            </w:r>
          </w:p>
          <w:p>
            <w:pPr>
              <w:keepNext w:val="0"/>
              <w:keepLines w:val="0"/>
              <w:widowControl/>
              <w:numPr>
                <w:ilvl w:val="0"/>
                <w:numId w:val="0"/>
              </w:numPr>
              <w:suppressLineNumbers w:val="0"/>
              <w:jc w:val="left"/>
              <w:textAlignment w:val="center"/>
              <w:rPr>
                <w:rFonts w:hint="default" w:ascii="黑体" w:hAnsi="宋体" w:eastAsia="黑体" w:cs="黑体"/>
                <w:i w:val="0"/>
                <w:iCs w:val="0"/>
                <w:color w:val="auto"/>
                <w:kern w:val="0"/>
                <w:sz w:val="28"/>
                <w:szCs w:val="28"/>
                <w:u w:val="none"/>
                <w:lang w:val="en-US" w:eastAsia="zh-CN" w:bidi="ar"/>
              </w:rPr>
            </w:pPr>
            <w:r>
              <w:rPr>
                <w:rFonts w:hint="eastAsia" w:ascii="仿宋" w:hAnsi="仿宋" w:eastAsia="仿宋" w:cs="仿宋"/>
                <w:i w:val="0"/>
                <w:iCs w:val="0"/>
                <w:color w:val="auto"/>
                <w:kern w:val="0"/>
                <w:sz w:val="28"/>
                <w:szCs w:val="28"/>
                <w:u w:val="none"/>
                <w:lang w:val="en-US" w:eastAsia="zh-CN" w:bidi="ar"/>
              </w:rPr>
              <w:t>此纳入2021年部门预算公开范围的为本单位本级预算。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（一）收入预算</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287.95万元，其中，一般公共预算拨款287.95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收入较去年增加6.97万元，增幅2.5%，原因是工资调标及人员调入</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2021年本单位支出预算287.95万元，其中，公共安全支出253.57万元，社会保障和就业支出14.61万元，卫生健康支出9.62万元，住房保障支出10.15万元。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6.97万元，其中基本支出较去年增加114.53万元，原因是人员工资调标以及上年度纳入项目支出的劳务派遣辅警工资2021年纳入基本支出；项目支出较去年减少107.56万元，原因是上年度纳入项目支出的劳务派遣辅警工资2021年纳入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2021年一般公共预算拨款支出预算287.95万元，其中，公共安全支出253.57万元，占88.1%，社会保障和就业支出14.61万元，占5.1%，卫生健康支出9.62万元，占3.3%，住房保障支出10.15万元，占3.5%。具体安排情况如下：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231.87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56.08万元，是指单位为完成特定行政工作任务或事业发展目标而发生的支出，包括有关业务工作经费、运行维护经费等。其中包括机场分局工作经费32.19万元，主要用于案件侦查、禁毒管理、反恐防爆、交通管理等方面；人民警察加班、执勤岗位津贴23.89万元</w:t>
            </w:r>
            <w:r>
              <w:rPr>
                <w:rFonts w:hint="eastAsia" w:ascii="仿宋_GB2312" w:hAnsi="宋体" w:cs="仿宋_GB2312"/>
                <w:i w:val="0"/>
                <w:iCs w:val="0"/>
                <w:color w:val="auto"/>
                <w:kern w:val="0"/>
                <w:sz w:val="28"/>
                <w:szCs w:val="28"/>
                <w:u w:val="none"/>
                <w:lang w:val="en-US" w:eastAsia="zh-CN" w:bidi="ar"/>
              </w:rPr>
              <w:t>，主要用于人民警察加班执勤值守。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本单位2021年机关运行经费当年一般公共预算拨款19.12万元。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较去年增加1.18万元，增幅6.6%，原因是</w:t>
            </w:r>
            <w:r>
              <w:rPr>
                <w:rFonts w:hint="eastAsia" w:ascii="仿宋_GB2312" w:hAnsi="宋体" w:cs="仿宋_GB2312"/>
                <w:i w:val="0"/>
                <w:iCs w:val="0"/>
                <w:color w:val="auto"/>
                <w:kern w:val="0"/>
                <w:sz w:val="28"/>
                <w:szCs w:val="28"/>
                <w:u w:val="none"/>
                <w:lang w:val="en-US" w:eastAsia="zh-CN" w:bidi="ar"/>
              </w:rPr>
              <w:t>人员增加导致的相关经费增加。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本单位2021年“三公”经费预算数21.00万元，其中公务接待费1.00万元，因公出国（境）费0.00万元，公务用车购置及运行费20.00万元（其中公务用车购置费20.00万元，公务用车运行费0.00万元</w:t>
            </w:r>
            <w:r>
              <w:rPr>
                <w:rFonts w:hint="eastAsia" w:ascii="仿宋_GB2312" w:hAnsi="宋体" w:cs="仿宋_GB2312"/>
                <w:i w:val="0"/>
                <w:iCs w:val="0"/>
                <w:color w:val="auto"/>
                <w:kern w:val="0"/>
                <w:sz w:val="28"/>
                <w:szCs w:val="28"/>
                <w:u w:val="none"/>
                <w:lang w:val="en-US" w:eastAsia="zh-CN" w:bidi="ar"/>
              </w:rPr>
              <w:t>。</w:t>
            </w:r>
            <w:r>
              <w:rPr>
                <w:rFonts w:hint="eastAsia" w:ascii="仿宋_GB2312" w:hAnsi="宋体" w:eastAsia="仿宋_GB2312"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较上一年减少 89万元，降低81%，主要是贯彻落实中央八项规定精神，按照过紧日子的要求，从严控制和压缩三公经费支出。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本单位2021年会议费预算0.50万元，拟召开2次会议，人数36人，内容为平安民航相关工作会议等；培训费预算2.57万元，拟开展3次培训，人数13人，内容为心理健康教育培训等</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2021年本度本单位未安排政府采购预算。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辆，其中领导干部用车0辆，一般公务用车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w:t>
            </w:r>
            <w:r>
              <w:rPr>
                <w:rFonts w:hint="eastAsia" w:ascii="仿宋_GB2312" w:hAnsi="宋体" w:cs="仿宋_GB2312"/>
                <w:i w:val="0"/>
                <w:iCs w:val="0"/>
                <w:color w:val="auto"/>
                <w:kern w:val="0"/>
                <w:sz w:val="28"/>
                <w:szCs w:val="28"/>
                <w:u w:val="none"/>
                <w:lang w:val="en-US" w:eastAsia="zh-CN" w:bidi="ar"/>
              </w:rPr>
              <w:t>其他</w:t>
            </w:r>
            <w:r>
              <w:rPr>
                <w:rFonts w:hint="eastAsia" w:ascii="仿宋_GB2312" w:hAnsi="宋体" w:eastAsia="仿宋_GB2312" w:cs="仿宋_GB2312"/>
                <w:i w:val="0"/>
                <w:iCs w:val="0"/>
                <w:color w:val="auto"/>
                <w:kern w:val="0"/>
                <w:sz w:val="28"/>
                <w:szCs w:val="28"/>
                <w:u w:val="none"/>
                <w:lang w:val="en-US" w:eastAsia="zh-CN" w:bidi="ar"/>
              </w:rPr>
              <w:t>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本单位所有支出实行绩效目标管理。纳入2021年单位整体支出绩效目标的金额为287.95万元，其中，基本支出231.87万元，项目支出56.08万元，绩效目标详见文尾附表中预算公开表格的表22-23。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numPr>
                <w:ilvl w:val="0"/>
                <w:numId w:val="3"/>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二、收入总表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三、支出总表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六、财政拨款收支总表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七、一般公共预算支出表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十五、政府性基金预算支出表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十八、国有资产经营预算支出表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二十一、支出预算项目明细表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cs="仿宋_GB2312"/>
                <w:i w:val="0"/>
                <w:iCs w:val="0"/>
                <w:color w:val="auto"/>
                <w:kern w:val="0"/>
                <w:sz w:val="28"/>
                <w:szCs w:val="28"/>
                <w:u w:val="none"/>
                <w:lang w:val="en-US" w:eastAsia="zh-CN" w:bidi="ar"/>
              </w:rPr>
              <w:t>二十四、一般公共预算基本支出总表</w:t>
            </w:r>
            <w:bookmarkStart w:id="0" w:name="_GoBack"/>
            <w:bookmarkEnd w:id="0"/>
            <w:r>
              <w:rPr>
                <w:rFonts w:hint="eastAsia" w:ascii="仿宋_GB2312" w:hAnsi="宋体" w:eastAsia="仿宋_GB2312" w:cs="仿宋_GB2312"/>
                <w:i w:val="0"/>
                <w:iCs w:val="0"/>
                <w:color w:val="auto"/>
                <w:kern w:val="0"/>
                <w:sz w:val="28"/>
                <w:szCs w:val="28"/>
                <w:u w:val="none"/>
                <w:lang w:val="en-US" w:eastAsia="zh-CN" w:bidi="ar"/>
              </w:rPr>
              <w:br w:type="textWrapping"/>
            </w: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70E60"/>
    <w:multiLevelType w:val="singleLevel"/>
    <w:tmpl w:val="00170E60"/>
    <w:lvl w:ilvl="0" w:tentative="0">
      <w:start w:val="1"/>
      <w:numFmt w:val="chineseCounting"/>
      <w:suff w:val="nothing"/>
      <w:lvlText w:val="%1、"/>
      <w:lvlJc w:val="left"/>
      <w:rPr>
        <w:rFonts w:hint="eastAsia"/>
      </w:rPr>
    </w:lvl>
  </w:abstractNum>
  <w:abstractNum w:abstractNumId="1">
    <w:nsid w:val="36B8A374"/>
    <w:multiLevelType w:val="singleLevel"/>
    <w:tmpl w:val="36B8A374"/>
    <w:lvl w:ilvl="0" w:tentative="0">
      <w:start w:val="2"/>
      <w:numFmt w:val="chineseCounting"/>
      <w:suff w:val="nothing"/>
      <w:lvlText w:val="%1、"/>
      <w:lvlJc w:val="left"/>
      <w:pPr>
        <w:ind w:left="560" w:leftChars="0" w:firstLine="0" w:firstLineChars="0"/>
      </w:pPr>
      <w:rPr>
        <w:rFonts w:hint="eastAsia"/>
      </w:rPr>
    </w:lvl>
  </w:abstractNum>
  <w:abstractNum w:abstractNumId="2">
    <w:nsid w:val="6DA30EA4"/>
    <w:multiLevelType w:val="singleLevel"/>
    <w:tmpl w:val="6DA30EA4"/>
    <w:lvl w:ilvl="0" w:tentative="0">
      <w:start w:val="1"/>
      <w:numFmt w:val="chineseCounting"/>
      <w:suff w:val="space"/>
      <w:lvlText w:val="第%1部分"/>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jQ4MTdjZWFjNWUzMjExNTI1ZGEyODRkOGU1NGMifQ=="/>
  </w:docVars>
  <w:rsids>
    <w:rsidRoot w:val="48885009"/>
    <w:rsid w:val="00AD3675"/>
    <w:rsid w:val="017F5C35"/>
    <w:rsid w:val="021B163F"/>
    <w:rsid w:val="02282330"/>
    <w:rsid w:val="02D26C94"/>
    <w:rsid w:val="032416C0"/>
    <w:rsid w:val="060318FF"/>
    <w:rsid w:val="060F4036"/>
    <w:rsid w:val="0618237D"/>
    <w:rsid w:val="0834033F"/>
    <w:rsid w:val="09AD4173"/>
    <w:rsid w:val="09F4457F"/>
    <w:rsid w:val="0AB100FE"/>
    <w:rsid w:val="0E5E7683"/>
    <w:rsid w:val="104D4694"/>
    <w:rsid w:val="16490F5F"/>
    <w:rsid w:val="1757400A"/>
    <w:rsid w:val="1AE479A2"/>
    <w:rsid w:val="1BDD4B1E"/>
    <w:rsid w:val="1FDB66E5"/>
    <w:rsid w:val="20C079C8"/>
    <w:rsid w:val="21C81DCC"/>
    <w:rsid w:val="26C22AA4"/>
    <w:rsid w:val="27A10913"/>
    <w:rsid w:val="29D477B9"/>
    <w:rsid w:val="312E36D8"/>
    <w:rsid w:val="3474171E"/>
    <w:rsid w:val="34A71D15"/>
    <w:rsid w:val="36C26D87"/>
    <w:rsid w:val="3B51265F"/>
    <w:rsid w:val="3B8E39E8"/>
    <w:rsid w:val="3E471E20"/>
    <w:rsid w:val="44051DAD"/>
    <w:rsid w:val="47C47D13"/>
    <w:rsid w:val="48885009"/>
    <w:rsid w:val="49620D08"/>
    <w:rsid w:val="4B2772B4"/>
    <w:rsid w:val="4E542F0D"/>
    <w:rsid w:val="503B2799"/>
    <w:rsid w:val="5099695F"/>
    <w:rsid w:val="555B14CE"/>
    <w:rsid w:val="556560EE"/>
    <w:rsid w:val="59EF2A8B"/>
    <w:rsid w:val="676C3F80"/>
    <w:rsid w:val="67B34EB9"/>
    <w:rsid w:val="684E77D6"/>
    <w:rsid w:val="707F6E1E"/>
    <w:rsid w:val="71A30B93"/>
    <w:rsid w:val="749F1AE5"/>
    <w:rsid w:val="75BB63EA"/>
    <w:rsid w:val="76322A03"/>
    <w:rsid w:val="79325440"/>
    <w:rsid w:val="7DCA55CA"/>
    <w:rsid w:val="7F187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character" w:customStyle="1" w:styleId="6">
    <w:name w:val="标题 3 Char"/>
    <w:link w:val="3"/>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3316</Words>
  <Characters>3593</Characters>
  <Lines>0</Lines>
  <Paragraphs>0</Paragraphs>
  <TotalTime>50</TotalTime>
  <ScaleCrop>false</ScaleCrop>
  <LinksUpToDate>false</LinksUpToDate>
  <CharactersWithSpaces>3755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J</cp:lastModifiedBy>
  <dcterms:modified xsi:type="dcterms:W3CDTF">2022-09-05T06:02:00Z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072E4AB647F041699AFF82EDADCCF088</vt:lpwstr>
  </property>
</Properties>
</file>