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Style w:val="8"/>
        <w:tblW w:w="15306" w:type="dxa"/>
        <w:tblInd w:w="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40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1110" w:lineRule="exact"/>
              <w:ind w:left="20"/>
              <w:jc w:val="center"/>
              <w:rPr>
                <w:rFonts w:ascii="微软雅黑" w:hAnsi="Times New Roman" w:eastAsia="微软雅黑" w:cs="微软雅黑"/>
                <w:b/>
                <w:bCs/>
                <w:sz w:val="84"/>
                <w:szCs w:val="84"/>
              </w:rPr>
            </w:pPr>
            <w:r>
              <w:rPr>
                <w:rFonts w:hint="eastAsia" w:ascii="微软雅黑" w:hAnsi="Times New Roman" w:eastAsia="微软雅黑" w:cs="微软雅黑"/>
                <w:b/>
                <w:bCs/>
                <w:sz w:val="84"/>
                <w:szCs w:val="84"/>
              </w:rPr>
              <w:t>岳阳市公安局君山分局</w:t>
            </w:r>
            <w:r>
              <w:rPr>
                <w:rFonts w:ascii="微软雅黑" w:hAnsi="Times New Roman" w:eastAsia="微软雅黑" w:cs="微软雅黑"/>
                <w:b/>
                <w:bCs/>
                <w:sz w:val="84"/>
                <w:szCs w:val="84"/>
              </w:rPr>
              <w:t>2024</w:t>
            </w:r>
            <w:r>
              <w:rPr>
                <w:rFonts w:hint="eastAsia" w:ascii="微软雅黑" w:hAnsi="Times New Roman" w:eastAsia="微软雅黑" w:cs="微软雅黑"/>
                <w:b/>
                <w:bCs/>
                <w:sz w:val="84"/>
                <w:szCs w:val="84"/>
              </w:rPr>
              <w:t>年度</w:t>
            </w:r>
          </w:p>
          <w:p>
            <w:pPr>
              <w:spacing w:line="1110" w:lineRule="exact"/>
              <w:ind w:left="20"/>
              <w:jc w:val="center"/>
              <w:rPr>
                <w:rFonts w:ascii="微软雅黑" w:hAnsi="Times New Roman" w:eastAsia="微软雅黑" w:cs="微软雅黑"/>
                <w:sz w:val="84"/>
                <w:szCs w:val="84"/>
              </w:rPr>
            </w:pPr>
            <w:r>
              <w:rPr>
                <w:rFonts w:hint="eastAsia" w:ascii="微软雅黑" w:hAnsi="Times New Roman" w:eastAsia="微软雅黑" w:cs="微软雅黑"/>
                <w:b/>
                <w:bCs/>
                <w:sz w:val="84"/>
                <w:szCs w:val="84"/>
              </w:rPr>
              <w:t>单位预算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525" w:lineRule="exact"/>
              <w:ind w:left="20"/>
              <w:jc w:val="center"/>
              <w:rPr>
                <w:rFonts w:hint="eastAsia" w:ascii="Dialog" w:hAnsi="Times New Roman" w:eastAsia="Dialog" w:cs="Dialog"/>
                <w:sz w:val="44"/>
                <w:szCs w:val="4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525" w:lineRule="exact"/>
              <w:ind w:left="20"/>
              <w:jc w:val="center"/>
              <w:rPr>
                <w:rFonts w:hint="eastAsia" w:ascii="Dialog" w:hAnsi="Times New Roman" w:eastAsia="Dialog" w:cs="Dialog"/>
                <w:sz w:val="44"/>
                <w:szCs w:val="4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525" w:lineRule="exact"/>
              <w:ind w:left="20"/>
              <w:jc w:val="center"/>
              <w:rPr>
                <w:rFonts w:ascii="Dialog" w:hAnsi="Times New Roman" w:eastAsia="Dialog" w:cs="Dialog"/>
                <w:sz w:val="44"/>
                <w:szCs w:val="44"/>
              </w:rPr>
            </w:pPr>
            <w:r>
              <w:rPr>
                <w:rFonts w:hint="eastAsia" w:ascii="Dialog" w:hAnsi="Times New Roman" w:eastAsia="Dialog" w:cs="Dialog"/>
                <w:sz w:val="44"/>
                <w:szCs w:val="44"/>
              </w:rPr>
              <w:t>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第一部分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2024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年单位预算说明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第二部分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2024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年单位预算公开表格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、收支总表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2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、收入总表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3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、支出总表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4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、支出预算分类汇总表（按政府预算经济分类）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5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、支出预算分类汇总表（按部门预算经济分类）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6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、财政拨款收支总表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7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8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、一般公共预算基本支出表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>-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人员经费（工资福利支出）（按政府预算经济分类）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9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、一般公共预算基本支出表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>-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人员经费（工资福利支出）（按部门预算经济分类）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10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、一般公共预算基本支出表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>-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人员经费（对个人和家庭的补助）（按政府预算经济分类）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11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、一般公共预算基本支出表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>-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人员经费（对个人和家庭的补助）（按部门预算经济分类）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12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、一般公共预算基本支出表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>-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公用经费（商品和服务支出）（按政府预算经济分类）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13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、一般公共预算基本支出表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>-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公用经费（商品和服务支出）（按部门预算经济分类）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14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、一般公共预算“三公”经费支出表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15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、政府性基金预算支出表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16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、政府性基金预算支出分类汇总表（按政府预算经济分类）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17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、政府性基金预算支出分类汇总表（按部门预算经济分类）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18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、国有资本经营预算支出表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19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、财政专户管理资金预算支出表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20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、专项资金预算汇总表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21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、项目支出绩效目标表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22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、单位整体支出绩效目标表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>23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、一般公共预算基本支出表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color w:val="FF0000"/>
                <w:sz w:val="32"/>
                <w:szCs w:val="32"/>
              </w:rPr>
            </w:pPr>
            <w:r>
              <w:rPr>
                <w:rFonts w:hint="eastAsia" w:ascii="Dialog" w:hAnsi="Times New Roman" w:eastAsia="Dialog" w:cs="Dialog"/>
                <w:color w:val="FF0000"/>
                <w:sz w:val="32"/>
                <w:szCs w:val="32"/>
              </w:rPr>
              <w:t>注：以上单位预算公开报表中，空表表示本单位无相关收支情况。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jc w:val="center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第一部分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2024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年单位预算说明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一、单位基本概况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（一）职能职责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1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firstLine="640" w:firstLineChars="200"/>
              <w:textAlignment w:val="auto"/>
              <w:rPr>
                <w:rFonts w:hint="eastAsia"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预防制止和侦查违法犯罪活动；维护社会治安秩序，制止危害社会治安秩序的行为；组织实施消防工作，实行消防监督；管理枪支弹药、控制刀具和易燃易爆、剧毒、放射等危险物品；对法律、法规指定的特种行业进行管理；警卫国家规定的特定人员，守卫重要的场所和设施；管理集会、游行、示威活动；管理户政、国籍、出入境事务和外国人在中国境内居留、旅行的有关事务；维护国边境地区的治安秩序；管理监督计算机信息系统的安全保卫工作；指导监督国家机关、社会团体、企业事业组织和重点建设工程的治安保卫工作，指导治安保卫委员会等群众性组织的治安防范工作；法律法规规定的其他职责。</w:t>
            </w:r>
          </w:p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（二）机构设置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 w:firstLine="640" w:firstLineChars="20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独立编制、核算机构数1个，现有人员编制 1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47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名，预算人数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143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名。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二、单位预算单位构成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本单位预算仅含本级预算。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三、单位收支总体情况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5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23"/>
              <w:textAlignment w:val="auto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本单位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年没有政府性基金预算拨款、国有资本经营预算收入和纳入专户管理的非税收入拨款收入，也没有使用政府性基金预算拨款、国有资本经营预算收入和纳入专户管理的非税收入拨款安排的支出，所以公开的附件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17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18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19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表均为空。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（一）收入预算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0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600" w:lineRule="exact"/>
              <w:ind w:firstLine="640" w:firstLineChars="200"/>
              <w:textAlignment w:val="auto"/>
              <w:rPr>
                <w:rFonts w:hint="eastAsia" w:ascii="宋体" w:hAnsi="Times New Roman" w:eastAsia="宋体" w:cs="宋体"/>
                <w:sz w:val="32"/>
                <w:szCs w:val="32"/>
              </w:rPr>
            </w:pP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包括一般公共预算、政府性基金、国有资本经营预算等财政拨款收入，以及经营收入、事业收入等单位资金。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年度年本单位收入预算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3164.96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万元，其中，一般公共预算拨款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3164.96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万元，政府性基金预算资金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(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所以公开的附件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17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为空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)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，国有资本经营预算资金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(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所以公开的附件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18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为空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)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，财政专户管理资金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(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所以公开的附件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19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为空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)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，上级补助收入资金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万元，事业单位经营收入资金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万元，上年结转结余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万元。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(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数据来源见表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2)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本单位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年收入较去年增加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525.65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万元，主要是因为主要是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公务交通补助和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医疗补助纳入预算，新招录民警数增加。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600" w:lineRule="exact"/>
              <w:ind w:firstLine="640" w:firstLineChars="200"/>
              <w:textAlignment w:val="auto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（二）支出预算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5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600" w:lineRule="exact"/>
              <w:ind w:firstLine="640" w:firstLineChars="200"/>
              <w:textAlignment w:val="auto"/>
              <w:rPr>
                <w:rFonts w:hint="eastAsia"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年本单位支出预算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3164.96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万元，其中，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公共安全支出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2705.96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208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社会保障和就业支出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247.85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210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卫生健康支出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43.35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221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住房保障支出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167.80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万元，支出较去年增加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525.65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万元，主要是因为主要是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公务交通补助和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医疗补助纳入预算，新招录民警数增加。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23"/>
              <w:textAlignment w:val="auto"/>
              <w:rPr>
                <w:rFonts w:ascii="宋体" w:hAnsi="Times New Roman" w:eastAsia="宋体" w:cs="宋体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四、一般公共预算拨款支出预算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0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23"/>
              <w:textAlignment w:val="auto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年一般公共预算拨款支出预算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3164.96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万元，其中，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公共安全支出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2705.96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万元，占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85.5%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；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208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社会保障和就业支出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247.85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万元，占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7.83%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；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210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卫生健康支出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43.35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万元，占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1.37%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；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221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住房保障支出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167.80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万元，占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5.3%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；具体安排情况如下：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5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23"/>
              <w:textAlignment w:val="auto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（一）基本支出：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年基本支出年初预算数为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2646.85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万元（数据来源见表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23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5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23"/>
              <w:textAlignment w:val="auto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（二）项目支出：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年项目支出年初预算数为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518.11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万元（数据来源见表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），是指单位为完成特定行政工作任务或事业发展目标而发生的支出，包括有关业务工作经费、运行维护经费、其他事业发展资金等。其中：“平安城市”电子防控系统工作经费专项支出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91.49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万元，主要用于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“平安城市”电子防控维护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方面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,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人民警察加班补贴和执勤津贴专项支出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205.92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万元，主要用于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人民警察法定之外加班补助和执勤岗位津贴发放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方面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,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乡镇派出所民警工作津贴专项支出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27.00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万元，主要用于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乡镇派出所民警补助发放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方面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,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涉密专项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193.70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支付方面不予公开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五、政府性基金预算支出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年度本单位无政府性基金安排的支出，所以公开的附件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15-17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（政府性基金预算）为空。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六、其他重要事项的情况说明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（一）机关运行经费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23"/>
              <w:textAlignment w:val="auto"/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本单位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年机关运行经费当年一般公共预算拨款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438.71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万元（数据来源见表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），比上一年增加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121.9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万元，增加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38.48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%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。主要原因是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公务交通补助已纳入预算，人员增加。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（二）“三公”经费预算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本单位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年“三公”经费预算数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147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万元（数据来源见表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），其中，公务接待费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1.00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万元，因公出国（境）费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0.00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万元，公务用车购置及运行费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146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.00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万元（其中，公务用车购置费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80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.00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万元，公务用车运行费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66.00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万元）。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年三公经费预算较上年减少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20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万元，主要原因是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公务车购置减少。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（三）一般性支出情况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5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23"/>
              <w:textAlignment w:val="auto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本单位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年会议费预算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0.50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万元（数据来源见表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13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会议费、培训费），拟召开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次会议，人数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143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人，内容为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公安工作推进会、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表彰奖励会、考评绩效会；培训费预算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10.00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万元，拟开展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次培训，人数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128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人，内容为辅警的辅警相关管理制度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和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执法规范化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培训、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新警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入警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培训及民警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晋职晋衔培训、专业技术提升培训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；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年度本单位未计划举办节庆、晚会、论坛、赛事活动。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（四）政府采购情况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3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23"/>
              <w:textAlignment w:val="auto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本单位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年政府采购预算总额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4108.97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万元，其中工程类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3188.34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万元，货物类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423.51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万元，服务类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497.12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（五）国有资产占有使用及新增资产配置情况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0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23"/>
              <w:textAlignment w:val="auto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截至上年底，本单位共有车辆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30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辆，其中领导干部用车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辆，一般公务用车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28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辆，其他用车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辆。单位价值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50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万元以上通用设备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台，单位价值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万元以上专用设备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台。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23"/>
              <w:textAlignment w:val="auto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年拟报废处置车辆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辆，其中：报废处置领导干部用车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辆，报废处置一般公务用车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辆，报废处置其他用车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辆，报废处置单位价值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50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万元以上通用设备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台，报废处置单位价值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万元以上通用设备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台。拟新增配置车辆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辆，其中领导干部用车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辆，一般公务用车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辆，其他用车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辆，主要用于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更换应急保障车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2台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，资金来源为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eastAsia="zh-CN"/>
              </w:rPr>
              <w:t>自筹资金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23"/>
              <w:textAlignment w:val="auto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年拟新增配备领导干部用车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辆，一般公务用车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辆，其他用车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辆，新增配备单位价值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50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万元以上通用设备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台，单位价值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100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万元以上专用设备</w:t>
            </w:r>
            <w:r>
              <w:rPr>
                <w:rFonts w:hint="eastAsia" w:ascii="宋体" w:hAnsi="Times New Roman" w:eastAsia="宋体" w:cs="宋体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台。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（六）预算绩效目标说明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23"/>
              <w:textAlignment w:val="auto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  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本单位所有支出实行绩效目标管理。纳入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2024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年单位整体支出绩效目标的金额为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3164.96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万元，其中，基本支出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2646.85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万元，项目支出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518.11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万元，详见文尾附表中单位预算公开表格的表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21-22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七、名词解释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23"/>
              <w:textAlignment w:val="auto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0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left="23"/>
              <w:textAlignment w:val="auto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 xml:space="preserve">  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5306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vAlign w:val="center"/>
          </w:tcPr>
          <w:p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jc w:val="center"/>
              <w:rPr>
                <w:rFonts w:ascii="Dialog" w:hAnsi="Times New Roman" w:eastAsia="Dialog" w:cs="Dialog"/>
                <w:sz w:val="32"/>
                <w:szCs w:val="32"/>
              </w:rPr>
            </w:pP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第二部分</w:t>
            </w:r>
            <w:r>
              <w:rPr>
                <w:rFonts w:ascii="Dialog" w:hAnsi="Times New Roman" w:eastAsia="Dialog" w:cs="Dialog"/>
                <w:sz w:val="32"/>
                <w:szCs w:val="32"/>
              </w:rPr>
              <w:t xml:space="preserve">  2024</w:t>
            </w:r>
            <w:r>
              <w:rPr>
                <w:rFonts w:hint="eastAsia" w:ascii="Dialog" w:hAnsi="Times New Roman" w:eastAsia="Dialog" w:cs="Dialog"/>
                <w:sz w:val="32"/>
                <w:szCs w:val="32"/>
              </w:rPr>
              <w:t>年单位预算公开表格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、收支总表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、收入总表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3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、支出总表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、支出预算分类汇总表（按政府预算经济分类）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、支出预算分类汇总表（按部门预算经济分类）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、财政拨款收支总表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7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8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、一般公共预算基本支出表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-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人员经费（工资福利支出）（按政府预算经济分类）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9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、一般公共预算基本支出表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-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人员经费（工资福利支出）（按部门预算经济分类）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、一般公共预算基本支出表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-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人员经费（对个人和家庭的补助）（按政府预算经济分类）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、一般公共预算基本支出表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-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人员经费（对个人和家庭的补助）（按部门预算经济分类）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、一般公共预算基本支出表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-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公用经费（商品和服务支出）（按政府预算经济分类）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13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、一般公共预算基本支出表</w:t>
            </w:r>
            <w:r>
              <w:rPr>
                <w:rFonts w:ascii="宋体" w:hAnsi="Times New Roman" w:eastAsia="宋体" w:cs="宋体"/>
                <w:sz w:val="32"/>
                <w:szCs w:val="32"/>
              </w:rPr>
              <w:t>-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公用经费（商品和服务支出）（按部门预算经济分类）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14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、一般公共预算“三公”经费支出表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15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、政府性基金预算支出表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16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、政府性基金预算支出分类汇总表（按政府预算经济分类）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17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、政府性基金预算支出分类汇总表（按部门预算经济分类）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18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、国有资本经营预算支出表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19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、财政专户管理资金预算支出表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20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、专项资金预算汇总表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21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、项目支出绩效目标表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22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、单位整体支出绩效目标表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sz w:val="32"/>
                <w:szCs w:val="32"/>
              </w:rPr>
            </w:pPr>
            <w:r>
              <w:rPr>
                <w:rFonts w:ascii="宋体" w:hAnsi="Times New Roman" w:eastAsia="宋体" w:cs="宋体"/>
                <w:sz w:val="32"/>
                <w:szCs w:val="32"/>
              </w:rPr>
              <w:t>23</w:t>
            </w:r>
            <w:r>
              <w:rPr>
                <w:rFonts w:hint="eastAsia" w:ascii="宋体" w:hAnsi="Times New Roman" w:eastAsia="宋体" w:cs="宋体"/>
                <w:sz w:val="32"/>
                <w:szCs w:val="32"/>
              </w:rPr>
              <w:t>、一般公共预算基本支出表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06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FFFF"/>
            <w:vAlign w:val="center"/>
          </w:tcPr>
          <w:p>
            <w:pPr>
              <w:spacing w:line="375" w:lineRule="exact"/>
              <w:ind w:left="20"/>
              <w:rPr>
                <w:rFonts w:ascii="宋体" w:hAnsi="Times New Roman" w:eastAsia="宋体" w:cs="宋体"/>
                <w:color w:val="FF0000"/>
                <w:sz w:val="32"/>
                <w:szCs w:val="32"/>
              </w:rPr>
            </w:pPr>
            <w:r>
              <w:rPr>
                <w:rFonts w:hint="eastAsia" w:ascii="宋体" w:hAnsi="Times New Roman" w:eastAsia="宋体" w:cs="宋体"/>
                <w:b/>
                <w:bCs/>
                <w:color w:val="FF0000"/>
                <w:sz w:val="32"/>
                <w:szCs w:val="32"/>
              </w:rPr>
              <w:t>注：以上单位预算公开报表中，空表表示本单位无相关收支情况。</w:t>
            </w:r>
          </w:p>
        </w:tc>
      </w:tr>
    </w:tbl>
    <w:p/>
    <w:sectPr>
      <w:pgSz w:w="15840" w:h="18708"/>
      <w:pgMar w:top="1080" w:right="388" w:bottom="1080" w:left="38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Dialog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lYjhhYjE1MTNlYjg0MTJlMzgxN2U1NjI5NTliNzUifQ=="/>
  </w:docVars>
  <w:rsids>
    <w:rsidRoot w:val="00090B67"/>
    <w:rsid w:val="00090B67"/>
    <w:rsid w:val="00393900"/>
    <w:rsid w:val="00BB632B"/>
    <w:rsid w:val="06E23CFC"/>
    <w:rsid w:val="14F13398"/>
    <w:rsid w:val="2457362B"/>
    <w:rsid w:val="304D3064"/>
    <w:rsid w:val="36825427"/>
    <w:rsid w:val="42C52EFD"/>
    <w:rsid w:val="54DB0829"/>
    <w:rsid w:val="70657707"/>
    <w:rsid w:val="73EE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cs="Arial" w:eastAsiaTheme="minorEastAsia"/>
      <w:color w:val="000000"/>
      <w:kern w:val="0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autoRedefine/>
    <w:qFormat/>
    <w:uiPriority w:val="9"/>
    <w:pPr>
      <w:outlineLvl w:val="0"/>
    </w:pPr>
    <w:rPr>
      <w:b/>
      <w:bCs/>
      <w:sz w:val="32"/>
      <w:szCs w:val="32"/>
    </w:rPr>
  </w:style>
  <w:style w:type="paragraph" w:styleId="4">
    <w:name w:val="heading 2"/>
    <w:basedOn w:val="1"/>
    <w:next w:val="1"/>
    <w:link w:val="11"/>
    <w:autoRedefine/>
    <w:qFormat/>
    <w:uiPriority w:val="99"/>
    <w:pPr>
      <w:outlineLvl w:val="1"/>
    </w:pPr>
    <w:rPr>
      <w:b/>
      <w:bCs/>
      <w:i/>
      <w:iCs/>
      <w:sz w:val="28"/>
      <w:szCs w:val="28"/>
    </w:rPr>
  </w:style>
  <w:style w:type="paragraph" w:styleId="5">
    <w:name w:val="heading 3"/>
    <w:basedOn w:val="1"/>
    <w:next w:val="1"/>
    <w:link w:val="12"/>
    <w:autoRedefine/>
    <w:qFormat/>
    <w:uiPriority w:val="99"/>
    <w:pPr>
      <w:outlineLvl w:val="2"/>
    </w:pPr>
    <w:rPr>
      <w:b/>
      <w:bCs/>
      <w:sz w:val="26"/>
      <w:szCs w:val="26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6">
    <w:name w:val="footer"/>
    <w:basedOn w:val="1"/>
    <w:link w:val="14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3"/>
    <w:autoRedefine/>
    <w:qFormat/>
    <w:locked/>
    <w:uiPriority w:val="9"/>
    <w:rPr>
      <w:rFonts w:cs="Times New Roman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4"/>
    <w:autoRedefine/>
    <w:semiHidden/>
    <w:qFormat/>
    <w:locked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5"/>
    <w:autoRedefine/>
    <w:semiHidden/>
    <w:qFormat/>
    <w:locked/>
    <w:uiPriority w:val="9"/>
    <w:rPr>
      <w:rFonts w:cs="Times New Roman"/>
      <w:b/>
      <w:bCs/>
      <w:sz w:val="32"/>
      <w:szCs w:val="32"/>
    </w:rPr>
  </w:style>
  <w:style w:type="character" w:customStyle="1" w:styleId="13">
    <w:name w:val="页眉 Char"/>
    <w:basedOn w:val="9"/>
    <w:link w:val="7"/>
    <w:autoRedefine/>
    <w:semiHidden/>
    <w:qFormat/>
    <w:locked/>
    <w:uiPriority w:val="99"/>
    <w:rPr>
      <w:rFonts w:ascii="Arial" w:hAnsi="Arial" w:cs="Arial"/>
      <w:color w:val="000000"/>
      <w:kern w:val="0"/>
      <w:sz w:val="18"/>
      <w:szCs w:val="18"/>
    </w:rPr>
  </w:style>
  <w:style w:type="character" w:customStyle="1" w:styleId="14">
    <w:name w:val="页脚 Char"/>
    <w:basedOn w:val="9"/>
    <w:link w:val="6"/>
    <w:autoRedefine/>
    <w:semiHidden/>
    <w:qFormat/>
    <w:locked/>
    <w:uiPriority w:val="99"/>
    <w:rPr>
      <w:rFonts w:ascii="Arial" w:hAnsi="Arial" w:cs="Arial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YYBD</Company>
  <Pages>6</Pages>
  <Words>581</Words>
  <Characters>3318</Characters>
  <Lines>27</Lines>
  <Paragraphs>7</Paragraphs>
  <TotalTime>44</TotalTime>
  <ScaleCrop>false</ScaleCrop>
  <LinksUpToDate>false</LinksUpToDate>
  <CharactersWithSpaces>3892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2024-03-20T02:07:00Z</dcterms:created>
  <dc:creator>JSGA</dc:creator>
  <cp:lastModifiedBy>Administrator</cp:lastModifiedBy>
  <dcterms:modified xsi:type="dcterms:W3CDTF">2024-04-01T02:25:22Z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AC48BD19EE974C1EA0BEBB9E587A7A73_12</vt:lpwstr>
  </property>
</Properties>
</file>