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岳阳市公安局交通警察支队</w:t>
      </w:r>
      <w:r>
        <w:rPr>
          <w:rFonts w:hint="eastAsia" w:ascii="方正小标宋_GBK" w:hAnsi="方正小标宋_GBK" w:eastAsia="方正小标宋_GBK" w:cs="方正小标宋_GBK"/>
          <w:sz w:val="84"/>
          <w:szCs w:val="84"/>
        </w:rPr>
        <w:t>部门决算</w:t>
      </w:r>
    </w:p>
    <w:p>
      <w:pPr>
        <w:pStyle w:val="4"/>
        <w:jc w:val="center"/>
        <w:rPr>
          <w:rFonts w:hint="eastAsia" w:ascii="方正小标宋_GBK" w:hAnsi="方正小标宋_GBK" w:eastAsia="方正小标宋_GBK" w:cs="方正小标宋_GBK"/>
          <w:sz w:val="56"/>
          <w:szCs w:val="56"/>
        </w:rPr>
      </w:pPr>
    </w:p>
    <w:p>
      <w:pPr>
        <w:pStyle w:val="4"/>
        <w:jc w:val="center"/>
        <w:rPr>
          <w:sz w:val="56"/>
          <w:szCs w:val="56"/>
        </w:rPr>
      </w:pPr>
    </w:p>
    <w:p>
      <w:pPr>
        <w:pStyle w:val="4"/>
        <w:jc w:val="center"/>
        <w:rPr>
          <w:sz w:val="56"/>
          <w:szCs w:val="56"/>
        </w:rPr>
      </w:pPr>
    </w:p>
    <w:p>
      <w:pPr>
        <w:pStyle w:val="4"/>
        <w:jc w:val="center"/>
        <w:rPr>
          <w:sz w:val="56"/>
          <w:szCs w:val="56"/>
        </w:rPr>
      </w:pPr>
    </w:p>
    <w:p>
      <w:pPr>
        <w:pStyle w:val="4"/>
        <w:jc w:val="center"/>
        <w:rPr>
          <w:sz w:val="32"/>
          <w:szCs w:val="32"/>
        </w:rPr>
      </w:pPr>
    </w:p>
    <w:p>
      <w:pPr>
        <w:pStyle w:val="4"/>
        <w:jc w:val="center"/>
        <w:rPr>
          <w:sz w:val="32"/>
          <w:szCs w:val="32"/>
        </w:rPr>
      </w:pPr>
    </w:p>
    <w:p>
      <w:pPr>
        <w:pStyle w:val="4"/>
        <w:jc w:val="center"/>
        <w:rPr>
          <w:sz w:val="32"/>
          <w:szCs w:val="32"/>
        </w:rPr>
      </w:pPr>
    </w:p>
    <w:p>
      <w:pPr>
        <w:pStyle w:val="4"/>
        <w:jc w:val="center"/>
        <w:rPr>
          <w:sz w:val="32"/>
          <w:szCs w:val="32"/>
        </w:rPr>
      </w:pPr>
    </w:p>
    <w:p>
      <w:pPr>
        <w:pStyle w:val="4"/>
        <w:jc w:val="center"/>
        <w:rPr>
          <w:sz w:val="32"/>
          <w:szCs w:val="32"/>
        </w:rPr>
      </w:pPr>
    </w:p>
    <w:p>
      <w:pPr>
        <w:pStyle w:val="4"/>
        <w:spacing w:line="540" w:lineRule="exact"/>
        <w:jc w:val="center"/>
        <w:rPr>
          <w:sz w:val="56"/>
          <w:szCs w:val="56"/>
        </w:rPr>
      </w:pPr>
    </w:p>
    <w:p>
      <w:pPr>
        <w:pStyle w:val="4"/>
        <w:spacing w:line="500" w:lineRule="exact"/>
        <w:jc w:val="both"/>
        <w:rPr>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4"/>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4"/>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岳阳市公安局交通警察支队</w:t>
      </w:r>
      <w:r>
        <w:rPr>
          <w:rFonts w:hint="eastAsia" w:ascii="黑体" w:hAnsi="黑体" w:eastAsia="黑体" w:cs="黑体"/>
          <w:b w:val="0"/>
          <w:bCs/>
          <w:sz w:val="28"/>
          <w:szCs w:val="28"/>
        </w:rPr>
        <w:t>概况</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4"/>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4"/>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十三、关于国有资产占用情况说明</w:t>
      </w:r>
    </w:p>
    <w:p>
      <w:pPr>
        <w:pStyle w:val="4"/>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十四、</w:t>
      </w:r>
      <w:r>
        <w:rPr>
          <w:rFonts w:hint="eastAsia" w:ascii="仿宋_GB2312" w:hAnsi="仿宋_GB2312" w:eastAsia="仿宋_GB2312" w:cs="仿宋_GB2312"/>
          <w:sz w:val="28"/>
          <w:szCs w:val="28"/>
        </w:rPr>
        <w:t>关于预算绩效情况的说明</w:t>
      </w:r>
    </w:p>
    <w:p>
      <w:pPr>
        <w:pStyle w:val="4"/>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4"/>
        <w:keepNext w:val="0"/>
        <w:keepLines w:val="0"/>
        <w:pageBreakBefore w:val="0"/>
        <w:widowControl w:val="0"/>
        <w:kinsoku/>
        <w:wordWrap/>
        <w:overflowPunct/>
        <w:topLinePunct w:val="0"/>
        <w:bidi w:val="0"/>
        <w:snapToGrid/>
        <w:spacing w:line="480" w:lineRule="exact"/>
        <w:textAlignment w:val="auto"/>
        <w:rPr>
          <w:rFonts w:hint="default" w:ascii="黑体" w:hAnsi="黑体" w:eastAsia="黑体" w:cs="黑体"/>
          <w:b w:val="0"/>
          <w:bCs/>
          <w:sz w:val="28"/>
          <w:szCs w:val="28"/>
          <w:lang w:val="en-US" w:eastAsia="zh-CN"/>
        </w:rPr>
      </w:pPr>
      <w:r>
        <w:rPr>
          <w:rFonts w:hint="eastAsia" w:hAnsi="黑体" w:cs="黑体"/>
          <w:b w:val="0"/>
          <w:bCs/>
          <w:sz w:val="28"/>
          <w:szCs w:val="28"/>
          <w:lang w:eastAsia="zh-CN"/>
        </w:rPr>
        <w:t>第五部分</w:t>
      </w:r>
      <w:r>
        <w:rPr>
          <w:rFonts w:hint="eastAsia" w:hAnsi="黑体" w:cs="黑体"/>
          <w:b w:val="0"/>
          <w:bCs/>
          <w:sz w:val="28"/>
          <w:szCs w:val="28"/>
          <w:lang w:val="en-US" w:eastAsia="zh-CN"/>
        </w:rPr>
        <w:t xml:space="preserve"> 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4"/>
        <w:jc w:val="center"/>
        <w:rPr>
          <w:rFonts w:hint="eastAsia" w:ascii="方正小标宋_GBK" w:hAnsi="方正小标宋_GBK" w:eastAsia="方正小标宋_GBK" w:cs="方正小标宋_GBK"/>
          <w:sz w:val="84"/>
          <w:szCs w:val="84"/>
        </w:rPr>
      </w:pPr>
    </w:p>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岳阳市公安局交通警察支队</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黑体"/>
          <w:color w:val="000000"/>
          <w:kern w:val="0"/>
          <w:sz w:val="32"/>
          <w:szCs w:val="32"/>
          <w:lang w:val="en-US" w:eastAsia="zh-CN" w:bidi="ar-SA"/>
        </w:rPr>
        <w:t>（一）指导全市城乡道路交通安全管理、交通安全宣传教育、交通指挥；负责维护城乡交通秩序，处理交通事故；负责预防、控制和打击涉车、涉路的违法犯罪；协同打击城乡非法营运的机动车辆；负责机动车辆管理和驾驶人管理工作；参与道理建设中的交通安全设施的规划、设置；负责重大警保卫任务交通管理以及静态交通管理。</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rPr>
          <w:rFonts w:hint="eastAsia" w:ascii="宋体" w:hAnsi="宋体" w:eastAsia="宋体" w:cs="宋体"/>
          <w:sz w:val="32"/>
          <w:szCs w:val="32"/>
          <w:lang w:val="en-US"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一）</w:t>
      </w:r>
      <w:r>
        <w:rPr>
          <w:rFonts w:hint="eastAsia" w:ascii="Times New Roman" w:hAnsi="Times New Roman" w:eastAsia="仿宋_GB2312" w:cs="仿宋_GB2312"/>
          <w:bCs/>
          <w:kern w:val="0"/>
          <w:sz w:val="32"/>
          <w:szCs w:val="32"/>
        </w:rPr>
        <w:t>内设机构设置</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岳阳市公安局交通警察支队</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黑体"/>
          <w:color w:val="000000"/>
          <w:kern w:val="0"/>
          <w:sz w:val="32"/>
          <w:szCs w:val="32"/>
          <w:lang w:val="en-US" w:eastAsia="zh-CN" w:bidi="ar-SA"/>
        </w:rPr>
        <w:t>岳阳市公安局交通警察支队为岳阳市公安局直属独立核算副处级二级机构，内设12个科所室、5个业务指导大队、9个勤务大队，包括：指挥调度管理大队、政工科、纪委（监察室）、工会、行政装备科、办公室、交通安全宣传教育科、交通秩序管理科、机动车驾驶人管理所、机动车辆管理所、交通违法处理大队、驾驶人考试中心、法制大队、道路交通设施管理大队、农村道路交通管理指导大队、交通事故预防处理指导大队、驾驶人交通违法教育管理大队、岳阳楼大队、白石岭大队、云溪大队、君山大队、城陵矶大队、南湖大队、新港区大队、公路巡逻警察大队、综合执法大队</w:t>
      </w:r>
      <w:r>
        <w:rPr>
          <w:rFonts w:hint="eastAsia" w:ascii="宋体" w:hAnsi="宋体" w:eastAsia="宋体" w:cs="宋体"/>
          <w:sz w:val="32"/>
          <w:szCs w:val="32"/>
          <w:lang w:val="en-US" w:eastAsia="zh-CN"/>
        </w:rPr>
        <w:t>。</w:t>
      </w:r>
    </w:p>
    <w:p>
      <w:pPr>
        <w:widowControl/>
        <w:numPr>
          <w:ilvl w:val="0"/>
          <w:numId w:val="0"/>
        </w:numPr>
        <w:spacing w:line="600" w:lineRule="exact"/>
        <w:ind w:firstLine="640" w:firstLineChars="200"/>
        <w:rPr>
          <w:rFonts w:ascii="宋体" w:hAnsi="宋体"/>
          <w:bCs/>
          <w:i/>
          <w:i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二）</w:t>
      </w:r>
      <w:r>
        <w:rPr>
          <w:rFonts w:hint="eastAsia" w:ascii="Times New Roman" w:hAnsi="Times New Roman" w:eastAsia="仿宋_GB2312" w:cs="仿宋_GB2312"/>
          <w:bCs/>
          <w:kern w:val="0"/>
          <w:sz w:val="32"/>
          <w:szCs w:val="32"/>
        </w:rPr>
        <w:t>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2022年度部门决算汇总公开单位仅包括岳阳市公安局交通警察支队本级</w:t>
      </w:r>
      <w:r>
        <w:rPr>
          <w:rFonts w:hint="eastAsia" w:ascii="Times New Roman" w:hAnsi="Times New Roman" w:eastAsia="仿宋_GB2312" w:cs="仿宋_GB2312"/>
          <w:bCs/>
          <w:kern w:val="0"/>
          <w:sz w:val="32"/>
          <w:szCs w:val="32"/>
          <w:lang w:eastAsia="zh-CN"/>
        </w:rPr>
        <w:t>。</w:t>
      </w:r>
    </w:p>
    <w:p>
      <w:pPr>
        <w:widowControl/>
        <w:spacing w:line="600" w:lineRule="exact"/>
        <w:rPr>
          <w:rFonts w:hint="eastAsia" w:ascii="黑体" w:hAnsi="黑体" w:eastAsia="黑体" w:cs="黑体"/>
          <w:b w:val="0"/>
          <w:bCs/>
          <w:kern w:val="0"/>
          <w:sz w:val="32"/>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pStyle w:val="4"/>
        <w:jc w:val="center"/>
        <w:rPr>
          <w:rFonts w:hint="eastAsia" w:ascii="方正小标宋_GBK" w:hAnsi="方正小标宋_GBK" w:eastAsia="方正小标宋_GBK" w:cs="方正小标宋_GBK"/>
          <w:sz w:val="84"/>
          <w:szCs w:val="84"/>
        </w:rPr>
      </w:pPr>
    </w:p>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4"/>
        <w:jc w:val="center"/>
        <w:rPr>
          <w:rFonts w:hint="eastAsia" w:ascii="方正小标宋_GBK" w:hAnsi="方正小标宋_GBK" w:eastAsia="方正小标宋_GBK" w:cs="方正小标宋_GBK"/>
          <w:sz w:val="84"/>
          <w:szCs w:val="84"/>
        </w:rPr>
      </w:pPr>
    </w:p>
    <w:p>
      <w:pPr>
        <w:pStyle w:val="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rFonts w:hint="eastAsia" w:eastAsia="宋体"/>
          <w:sz w:val="72"/>
          <w:szCs w:val="72"/>
          <w:lang w:eastAsia="zh-CN"/>
        </w:rPr>
      </w:pPr>
      <w:r>
        <w:rPr>
          <w:rFonts w:hint="eastAsia"/>
          <w:sz w:val="72"/>
          <w:szCs w:val="72"/>
          <w:lang w:eastAsia="zh-CN"/>
        </w:rPr>
        <w:t>（见附件）</w:t>
      </w:r>
    </w:p>
    <w:p>
      <w:pPr>
        <w:jc w:val="center"/>
        <w:rPr>
          <w:sz w:val="72"/>
          <w:szCs w:val="72"/>
        </w:rPr>
      </w:pPr>
    </w:p>
    <w:p>
      <w:pPr>
        <w:jc w:val="center"/>
        <w:rPr>
          <w:sz w:val="72"/>
          <w:szCs w:val="72"/>
        </w:rPr>
      </w:pPr>
    </w:p>
    <w:p>
      <w:pPr>
        <w:jc w:val="center"/>
        <w:rPr>
          <w:sz w:val="72"/>
          <w:szCs w:val="72"/>
        </w:rPr>
      </w:pPr>
    </w:p>
    <w:p>
      <w:pPr>
        <w:pStyle w:val="4"/>
        <w:jc w:val="center"/>
        <w:rPr>
          <w:rFonts w:hint="eastAsia" w:ascii="方正小标宋_GBK" w:hAnsi="方正小标宋_GBK" w:eastAsia="方正小标宋_GBK" w:cs="方正小标宋_GBK"/>
          <w:sz w:val="72"/>
          <w:szCs w:val="72"/>
        </w:rPr>
      </w:pPr>
    </w:p>
    <w:p>
      <w:pPr>
        <w:pStyle w:val="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4"/>
        <w:jc w:val="center"/>
        <w:rPr>
          <w:rFonts w:hint="eastAsia" w:ascii="方正小标宋_GBK" w:hAnsi="方正小标宋_GBK" w:eastAsia="方正小标宋_GBK" w:cs="方正小标宋_GBK"/>
          <w:sz w:val="70"/>
          <w:szCs w:val="70"/>
        </w:rPr>
      </w:pPr>
    </w:p>
    <w:p>
      <w:pPr>
        <w:pStyle w:val="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宋体" w:hAnsi="宋体" w:eastAsia="宋体"/>
          <w:sz w:val="32"/>
          <w:szCs w:val="32"/>
        </w:rPr>
      </w:pPr>
      <w:r>
        <w:rPr>
          <w:rFonts w:hint="eastAsia" w:ascii="方正小标宋_GBK" w:hAnsi="方正小标宋_GBK" w:eastAsia="方正小标宋_GBK" w:cs="方正小标宋_GBK"/>
          <w:sz w:val="70"/>
          <w:szCs w:val="70"/>
          <w:lang w:val="en-US" w:eastAsia="zh-CN"/>
        </w:rPr>
        <w:t xml:space="preserve">  </w:t>
      </w:r>
      <w:r>
        <w:rPr>
          <w:rFonts w:hint="eastAsia" w:ascii="仿宋_GB2312" w:hAnsi="仿宋_GB2312" w:eastAsia="仿宋_GB2312" w:cs="仿宋_GB2312"/>
          <w:sz w:val="32"/>
          <w:szCs w:val="32"/>
        </w:rPr>
        <w:t>（</w:t>
      </w:r>
      <w:r>
        <w:rPr>
          <w:rFonts w:hint="eastAsia" w:ascii="黑体" w:hAnsi="黑体" w:eastAsia="黑体" w:cs="黑体"/>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Times New Roman" w:hAnsi="Times New Roman" w:eastAsia="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收入支出决算总体情况说明</w:t>
      </w:r>
    </w:p>
    <w:p>
      <w:pPr>
        <w:pStyle w:val="4"/>
        <w:ind w:firstLine="640" w:firstLineChars="200"/>
        <w:rPr>
          <w:rFonts w:hint="default" w:ascii="Times New Roman" w:hAnsi="Times New Roman" w:eastAsia="仿宋_GB2312"/>
          <w:sz w:val="32"/>
          <w:szCs w:val="32"/>
          <w:lang w:val="en-US"/>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23568.26</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4326.83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22.5</w:t>
      </w:r>
      <w:r>
        <w:rPr>
          <w:rFonts w:hint="eastAsia" w:ascii="Times New Roman" w:hAnsi="Times New Roman" w:eastAsia="仿宋_GB2312"/>
          <w:sz w:val="32"/>
          <w:szCs w:val="32"/>
        </w:rPr>
        <w:t>%，主要是因为</w:t>
      </w:r>
      <w:r>
        <w:rPr>
          <w:rFonts w:hint="eastAsia" w:ascii="宋体" w:hAnsi="宋体" w:eastAsia="宋体"/>
          <w:sz w:val="32"/>
          <w:szCs w:val="32"/>
          <w:lang w:val="en-US" w:eastAsia="zh-CN"/>
        </w:rPr>
        <w:t>2022年财政拨付智能交通项目建设资金2750万元，2021年无此项支出。</w:t>
      </w:r>
    </w:p>
    <w:p>
      <w:pPr>
        <w:pStyle w:val="4"/>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收入决算情况说明</w:t>
      </w:r>
    </w:p>
    <w:p>
      <w:pPr>
        <w:pStyle w:val="4"/>
        <w:ind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23517.32</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其中：财政拨款收入</w:t>
      </w:r>
      <w:r>
        <w:rPr>
          <w:rFonts w:hint="eastAsia" w:ascii="Times New Roman" w:hAnsi="Times New Roman" w:eastAsia="仿宋_GB2312"/>
          <w:sz w:val="32"/>
          <w:szCs w:val="32"/>
          <w:highlight w:val="none"/>
          <w:lang w:val="en-US" w:eastAsia="zh-CN"/>
        </w:rPr>
        <w:t>23068.97</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98.09</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448.35</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1.91</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上级补助收入0万元，占0%；事业收入0万元，占0%；经营收入0万元，占0%；附属单位上缴收入0万元，占0%。</w:t>
      </w:r>
    </w:p>
    <w:p>
      <w:pPr>
        <w:pStyle w:val="4"/>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支出决算情况说明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yellow"/>
          <w:lang w:val="en-US"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年度支出合计</w:t>
      </w:r>
      <w:r>
        <w:rPr>
          <w:rFonts w:hint="eastAsia" w:ascii="Times New Roman" w:hAnsi="Times New Roman" w:eastAsia="仿宋_GB2312"/>
          <w:sz w:val="32"/>
          <w:szCs w:val="32"/>
          <w:highlight w:val="none"/>
          <w:lang w:val="en-US" w:eastAsia="zh-CN"/>
        </w:rPr>
        <w:t>23486.22</w:t>
      </w:r>
      <w:r>
        <w:rPr>
          <w:rFonts w:hint="eastAsia" w:ascii="Times New Roman" w:hAnsi="Times New Roman" w:eastAsia="仿宋_GB2312"/>
          <w:sz w:val="32"/>
          <w:szCs w:val="32"/>
          <w:highlight w:val="none"/>
        </w:rPr>
        <w:t>万元，其中：基本支出</w:t>
      </w:r>
      <w:r>
        <w:rPr>
          <w:rFonts w:hint="eastAsia" w:ascii="Times New Roman" w:hAnsi="Times New Roman" w:eastAsia="仿宋_GB2312"/>
          <w:sz w:val="32"/>
          <w:szCs w:val="32"/>
          <w:highlight w:val="none"/>
          <w:lang w:val="en-US" w:eastAsia="zh-CN"/>
        </w:rPr>
        <w:t>18328.38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78.04</w:t>
      </w:r>
      <w:r>
        <w:rPr>
          <w:rFonts w:hint="eastAsia" w:ascii="Times New Roman" w:hAnsi="Times New Roman" w:eastAsia="仿宋_GB2312"/>
          <w:sz w:val="32"/>
          <w:szCs w:val="32"/>
          <w:highlight w:val="none"/>
        </w:rPr>
        <w:t>%；项目支出</w:t>
      </w:r>
      <w:r>
        <w:rPr>
          <w:rFonts w:hint="eastAsia" w:ascii="Times New Roman" w:hAnsi="Times New Roman" w:eastAsia="仿宋_GB2312"/>
          <w:sz w:val="32"/>
          <w:szCs w:val="32"/>
          <w:highlight w:val="none"/>
          <w:lang w:val="en-US" w:eastAsia="zh-CN"/>
        </w:rPr>
        <w:t>5157.84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21.96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上缴上级支出0万元，占0%；经营支出0万元，占0%；对附属单位补助支出0万元，占0%。</w:t>
      </w:r>
    </w:p>
    <w:p>
      <w:pPr>
        <w:pStyle w:val="4"/>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财政拨款收入支出决算总体情况说明</w:t>
      </w:r>
    </w:p>
    <w:p>
      <w:pPr>
        <w:pStyle w:val="4"/>
        <w:ind w:firstLine="640" w:firstLineChars="200"/>
        <w:rPr>
          <w:rFonts w:hint="default" w:ascii="Times New Roman" w:hAnsi="Times New Roman" w:eastAsia="仿宋_GB2312"/>
          <w:sz w:val="32"/>
          <w:szCs w:val="32"/>
          <w:lang w:val="en-US"/>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23068.97</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4422.81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23.72</w:t>
      </w:r>
      <w:r>
        <w:rPr>
          <w:rFonts w:hint="eastAsia" w:ascii="Times New Roman" w:hAnsi="Times New Roman" w:eastAsia="仿宋_GB2312"/>
          <w:sz w:val="32"/>
          <w:szCs w:val="32"/>
        </w:rPr>
        <w:t>%，主要是因为</w:t>
      </w:r>
      <w:r>
        <w:rPr>
          <w:rFonts w:hint="eastAsia" w:ascii="宋体" w:hAnsi="宋体" w:eastAsia="宋体"/>
          <w:sz w:val="32"/>
          <w:szCs w:val="32"/>
          <w:lang w:val="en-US" w:eastAsia="zh-CN"/>
        </w:rPr>
        <w:t>2022年财政拨付智能交通项目建设资金2750万元，2021年无此项支出。</w:t>
      </w:r>
    </w:p>
    <w:p>
      <w:pPr>
        <w:pStyle w:val="4"/>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 xml:space="preserve"> </w:t>
      </w:r>
      <w:r>
        <w:rPr>
          <w:rFonts w:hint="eastAsia" w:ascii="黑体" w:hAnsi="黑体" w:eastAsia="黑体" w:cs="黑体"/>
          <w:b w:val="0"/>
          <w:bCs/>
          <w:sz w:val="32"/>
          <w:szCs w:val="32"/>
          <w:lang w:val="en-US" w:eastAsia="zh-CN"/>
        </w:rPr>
        <w:t>五、</w:t>
      </w:r>
      <w:r>
        <w:rPr>
          <w:rFonts w:hint="eastAsia" w:ascii="黑体" w:hAnsi="黑体" w:eastAsia="黑体" w:cs="黑体"/>
          <w:b w:val="0"/>
          <w:bCs/>
          <w:sz w:val="32"/>
          <w:szCs w:val="32"/>
        </w:rPr>
        <w:t>一般公共预算财政拨款支出决算情况说明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23068.97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98.22</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4422.81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23.73</w:t>
      </w:r>
      <w:r>
        <w:rPr>
          <w:rFonts w:hint="eastAsia" w:ascii="Times New Roman" w:hAnsi="Times New Roman" w:eastAsia="仿宋_GB2312"/>
          <w:sz w:val="32"/>
          <w:szCs w:val="32"/>
        </w:rPr>
        <w:t>%，主要是因为</w:t>
      </w:r>
      <w:r>
        <w:rPr>
          <w:rFonts w:hint="eastAsia" w:ascii="宋体" w:hAnsi="宋体" w:eastAsia="宋体"/>
          <w:sz w:val="32"/>
          <w:szCs w:val="32"/>
          <w:lang w:val="en-US" w:eastAsia="zh-CN"/>
        </w:rPr>
        <w:t>2022年财政拨付智能交通项目建设资金2750万元，2021年无此项支出。</w:t>
      </w:r>
    </w:p>
    <w:p>
      <w:pPr>
        <w:pStyle w:val="4"/>
        <w:keepNext w:val="0"/>
        <w:keepLines w:val="0"/>
        <w:pageBreakBefore w:val="0"/>
        <w:widowControl w:val="0"/>
        <w:numPr>
          <w:ilvl w:val="0"/>
          <w:numId w:val="3"/>
        </w:numPr>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财政拨款支出决算结构情况</w:t>
      </w:r>
    </w:p>
    <w:p>
      <w:pPr>
        <w:pStyle w:val="4"/>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23068.97</w:t>
      </w:r>
      <w:r>
        <w:rPr>
          <w:rFonts w:hint="eastAsia" w:ascii="Times New Roman" w:hAnsi="Times New Roman" w:eastAsia="仿宋_GB2312"/>
          <w:sz w:val="32"/>
          <w:szCs w:val="32"/>
        </w:rPr>
        <w:t>万元，主要用于以下方面：</w:t>
      </w:r>
      <w:r>
        <w:rPr>
          <w:rFonts w:hint="eastAsia" w:ascii="Times New Roman" w:hAnsi="Times New Roman" w:eastAsia="仿宋_GB2312"/>
          <w:sz w:val="32"/>
          <w:szCs w:val="32"/>
          <w:highlight w:val="none"/>
          <w:lang w:val="en-US" w:eastAsia="zh-CN"/>
        </w:rPr>
        <w:t>公共安全</w:t>
      </w:r>
      <w:r>
        <w:rPr>
          <w:rFonts w:hint="eastAsia" w:ascii="Times New Roman" w:hAnsi="Times New Roman" w:eastAsia="仿宋_GB2312"/>
          <w:sz w:val="32"/>
          <w:szCs w:val="32"/>
          <w:highlight w:val="none"/>
        </w:rPr>
        <w:t>支出</w:t>
      </w:r>
      <w:r>
        <w:rPr>
          <w:rFonts w:hint="eastAsia" w:ascii="Times New Roman" w:hAnsi="Times New Roman" w:eastAsia="仿宋_GB2312"/>
          <w:sz w:val="32"/>
          <w:szCs w:val="32"/>
          <w:highlight w:val="none"/>
          <w:lang w:val="en-US" w:eastAsia="zh-CN"/>
        </w:rPr>
        <w:t>22919.59</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99.35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lang w:val="en-US" w:eastAsia="zh-CN"/>
        </w:rPr>
        <w:t>社会保障和就业</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62.02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0.27</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城乡社区支出87.35万元，</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17998.08</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23068.97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128.17</w:t>
      </w:r>
      <w:r>
        <w:rPr>
          <w:rFonts w:hint="eastAsia" w:ascii="Times New Roman" w:hAnsi="Times New Roman" w:eastAsia="仿宋_GB2312"/>
          <w:sz w:val="32"/>
          <w:szCs w:val="32"/>
        </w:rPr>
        <w:t>%，其中：</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公共安全支出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公安</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行政运行</w:t>
      </w:r>
      <w:r>
        <w:rPr>
          <w:rFonts w:hint="eastAsia" w:ascii="Times New Roman" w:hAnsi="Times New Roman" w:eastAsia="仿宋_GB2312"/>
          <w:sz w:val="32"/>
          <w:szCs w:val="32"/>
        </w:rPr>
        <w:t>（项）。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rPr>
        <w:t>年初预算为</w:t>
      </w:r>
      <w:r>
        <w:rPr>
          <w:rFonts w:hint="eastAsia" w:ascii="Times New Roman" w:hAnsi="Times New Roman" w:eastAsia="仿宋_GB2312"/>
          <w:color w:val="000000"/>
          <w:sz w:val="32"/>
          <w:szCs w:val="32"/>
          <w:lang w:val="en-US" w:eastAsia="zh-CN"/>
        </w:rPr>
        <w:t>6769.49</w:t>
      </w:r>
      <w:r>
        <w:rPr>
          <w:rFonts w:hint="eastAsia" w:ascii="Times New Roman" w:hAnsi="Times New Roman" w:eastAsia="仿宋_GB2312"/>
          <w:color w:val="000000"/>
          <w:sz w:val="32"/>
          <w:szCs w:val="32"/>
        </w:rPr>
        <w:t>万元，支出决算</w:t>
      </w:r>
      <w:r>
        <w:rPr>
          <w:rFonts w:hint="eastAsia" w:ascii="Times New Roman" w:hAnsi="Times New Roman" w:eastAsia="仿宋_GB2312"/>
          <w:color w:val="000000"/>
          <w:sz w:val="32"/>
          <w:szCs w:val="32"/>
          <w:lang w:val="en-US" w:eastAsia="zh-CN"/>
        </w:rPr>
        <w:t>6755.35</w:t>
      </w:r>
      <w:r>
        <w:rPr>
          <w:rFonts w:hint="eastAsia"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lang w:val="en-US" w:eastAsia="zh-CN"/>
        </w:rPr>
        <w:t>99.79</w:t>
      </w:r>
      <w:r>
        <w:rPr>
          <w:rFonts w:hint="eastAsia"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人员异动，及指标调剂等原因。</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公共安全支出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公安</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一般行政管理事务</w:t>
      </w:r>
      <w:r>
        <w:rPr>
          <w:rFonts w:hint="eastAsia" w:ascii="Times New Roman" w:hAnsi="Times New Roman" w:eastAsia="仿宋_GB2312"/>
          <w:sz w:val="32"/>
          <w:szCs w:val="32"/>
        </w:rPr>
        <w:t>（项）。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4475.98</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预算后期追加了2021年办案及非税超收，顽瘴痼疾真抓实干奖励金，2021年绩效奖、年度考核奖励经费等。</w:t>
      </w:r>
    </w:p>
    <w:p>
      <w:pPr>
        <w:pStyle w:val="4"/>
        <w:keepNext w:val="0"/>
        <w:keepLines w:val="0"/>
        <w:pageBreakBefore w:val="0"/>
        <w:widowControl w:val="0"/>
        <w:numPr>
          <w:ilvl w:val="0"/>
          <w:numId w:val="4"/>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公共安全支出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公安</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执法办案</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11228.59</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11441.69</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完成了年初预算数的102%，</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预算追加了全省交警部门科目三考试成本性经费。</w:t>
      </w:r>
    </w:p>
    <w:p>
      <w:pPr>
        <w:pStyle w:val="4"/>
        <w:keepNext w:val="0"/>
        <w:keepLines w:val="0"/>
        <w:pageBreakBefore w:val="0"/>
        <w:widowControl w:val="0"/>
        <w:numPr>
          <w:ilvl w:val="0"/>
          <w:numId w:val="4"/>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公共安全支出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公安</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其他公安支出</w:t>
      </w:r>
      <w:r>
        <w:rPr>
          <w:rFonts w:hint="eastAsia" w:ascii="Times New Roman" w:hAnsi="Times New Roman" w:eastAsia="仿宋_GB2312"/>
          <w:sz w:val="32"/>
          <w:szCs w:val="32"/>
        </w:rPr>
        <w:t>（项）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238.69</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财政预算追加2021年度市直单位相关人员绩效奖励经费（含退休人员）。</w:t>
      </w:r>
    </w:p>
    <w:p>
      <w:pPr>
        <w:pStyle w:val="4"/>
        <w:keepNext w:val="0"/>
        <w:keepLines w:val="0"/>
        <w:pageBreakBefore w:val="0"/>
        <w:widowControl w:val="0"/>
        <w:numPr>
          <w:ilvl w:val="0"/>
          <w:numId w:val="4"/>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公共安全支出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其他公共安全支出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其他公共安全支出</w:t>
      </w:r>
      <w:r>
        <w:rPr>
          <w:rFonts w:hint="eastAsia" w:ascii="Times New Roman" w:hAnsi="Times New Roman" w:eastAsia="仿宋_GB2312"/>
          <w:sz w:val="32"/>
          <w:szCs w:val="32"/>
        </w:rPr>
        <w:t>（项）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7.88</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财政预算追加专项资金结转。</w:t>
      </w:r>
    </w:p>
    <w:p>
      <w:pPr>
        <w:pStyle w:val="4"/>
        <w:keepNext w:val="0"/>
        <w:keepLines w:val="0"/>
        <w:pageBreakBefore w:val="0"/>
        <w:widowControl w:val="0"/>
        <w:numPr>
          <w:ilvl w:val="0"/>
          <w:numId w:val="4"/>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社会保障和就业支出（类）抚恤（款）其他优抚支出（项）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62.02</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财政预算追加一次性抚恤及遗属费。</w:t>
      </w:r>
    </w:p>
    <w:p>
      <w:pPr>
        <w:pStyle w:val="4"/>
        <w:keepNext w:val="0"/>
        <w:keepLines w:val="0"/>
        <w:pageBreakBefore w:val="0"/>
        <w:widowControl w:val="0"/>
        <w:numPr>
          <w:ilvl w:val="0"/>
          <w:numId w:val="4"/>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城乡社区支出（类）城乡社区规划与管理（款）城乡社区规划与管理（项）</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87.35</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预算追加交警支队交通设施维护补助。</w:t>
      </w:r>
    </w:p>
    <w:p>
      <w:pPr>
        <w:pStyle w:val="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六、</w:t>
      </w:r>
      <w:r>
        <w:rPr>
          <w:rFonts w:hint="eastAsia" w:ascii="黑体" w:hAnsi="黑体" w:eastAsia="黑体" w:cs="黑体"/>
          <w:b w:val="0"/>
          <w:bCs/>
          <w:sz w:val="32"/>
          <w:szCs w:val="32"/>
        </w:rPr>
        <w:t>一般公共预算财政拨款基本支出决算情况说明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年度财政拨款基本支出</w:t>
      </w:r>
      <w:r>
        <w:rPr>
          <w:rFonts w:hint="eastAsia" w:ascii="Times New Roman" w:hAnsi="Times New Roman" w:eastAsia="仿宋_GB2312"/>
          <w:sz w:val="32"/>
          <w:szCs w:val="32"/>
          <w:highlight w:val="none"/>
          <w:lang w:val="en-US" w:eastAsia="zh-CN"/>
        </w:rPr>
        <w:t>17911.13</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其中：</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人员经费</w:t>
      </w:r>
      <w:r>
        <w:rPr>
          <w:rFonts w:hint="eastAsia" w:ascii="Times New Roman" w:hAnsi="Times New Roman" w:eastAsia="仿宋_GB2312"/>
          <w:sz w:val="32"/>
          <w:szCs w:val="32"/>
          <w:lang w:val="en-US" w:eastAsia="zh-CN"/>
        </w:rPr>
        <w:t>8811.96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49.2</w:t>
      </w:r>
      <w:r>
        <w:rPr>
          <w:rFonts w:hint="eastAsia" w:ascii="Times New Roman" w:hAnsi="Times New Roman" w:eastAsia="仿宋_GB2312"/>
          <w:sz w:val="32"/>
          <w:szCs w:val="32"/>
        </w:rPr>
        <w:t>%,主要包括基本工资、津贴补贴、</w:t>
      </w:r>
      <w:r>
        <w:rPr>
          <w:rFonts w:hint="eastAsia" w:ascii="Times New Roman" w:hAnsi="Times New Roman" w:eastAsia="仿宋_GB2312"/>
          <w:b w:val="0"/>
          <w:bCs w:val="0"/>
          <w:sz w:val="32"/>
          <w:szCs w:val="32"/>
          <w:lang w:val="en-US" w:eastAsia="zh-CN"/>
        </w:rPr>
        <w:t>奖金</w:t>
      </w:r>
      <w:r>
        <w:rPr>
          <w:rFonts w:hint="eastAsia" w:ascii="Times New Roman" w:hAnsi="Times New Roman" w:eastAsia="仿宋_GB2312"/>
          <w:sz w:val="32"/>
          <w:szCs w:val="32"/>
        </w:rPr>
        <w:t>、伙食补助</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机关事业单位养老保险缴费、职工基本医疗缴费、其他社会保障缴费、住房公积金等</w:t>
      </w:r>
      <w:r>
        <w:rPr>
          <w:rFonts w:hint="eastAsia" w:ascii="Times New Roman" w:hAnsi="Times New Roman" w:eastAsia="仿宋_GB2312"/>
          <w:sz w:val="32"/>
          <w:szCs w:val="32"/>
          <w:lang w:eastAsia="zh-CN"/>
        </w:rPr>
        <w:t>。</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rPr>
        <w:t>公用经费</w:t>
      </w:r>
      <w:r>
        <w:rPr>
          <w:rFonts w:hint="eastAsia" w:ascii="Times New Roman" w:hAnsi="Times New Roman" w:eastAsia="仿宋_GB2312"/>
          <w:sz w:val="32"/>
          <w:szCs w:val="32"/>
          <w:lang w:val="en-US" w:eastAsia="zh-CN"/>
        </w:rPr>
        <w:t>9099.17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50.8</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差旅费、水电费、物业费、维修费、劳务费（辅警工资福利支出）、专用材料费（号牌工本费）、委托业务费（涉案车辆保管费、司法鉴定）、工会经费、公务用车运行维护费及其他交通费、其他商品服务支出等（道路交通设施维护、宣传及办案等）</w:t>
      </w:r>
      <w:r>
        <w:rPr>
          <w:rFonts w:hint="eastAsia" w:ascii="Times New Roman" w:hAnsi="Times New Roman" w:eastAsia="仿宋_GB2312"/>
          <w:sz w:val="32"/>
          <w:szCs w:val="32"/>
          <w:highlight w:val="none"/>
        </w:rPr>
        <w:t>。</w:t>
      </w:r>
    </w:p>
    <w:p>
      <w:pPr>
        <w:pStyle w:val="4"/>
        <w:keepNext w:val="0"/>
        <w:keepLines w:val="0"/>
        <w:pageBreakBefore w:val="0"/>
        <w:widowControl w:val="0"/>
        <w:numPr>
          <w:ilvl w:val="0"/>
          <w:numId w:val="5"/>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政府性基金预算收入支出决算情况</w:t>
      </w:r>
    </w:p>
    <w:p>
      <w:pPr>
        <w:pStyle w:val="4"/>
        <w:keepNext w:val="0"/>
        <w:keepLines w:val="0"/>
        <w:pageBreakBefore w:val="0"/>
        <w:widowControl w:val="0"/>
        <w:numPr>
          <w:ilvl w:val="0"/>
          <w:numId w:val="0"/>
        </w:numPr>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highlight w:val="none"/>
          <w:lang w:val="en-US" w:eastAsia="zh-CN"/>
        </w:rPr>
        <w:t>2022年度政府性基金预算财政拨款收入0万元；年初结转和结余0万元；支出0万元，其中基本支出0万元，项目支出0万元；年末结转和结余0万元。</w:t>
      </w:r>
    </w:p>
    <w:p>
      <w:pPr>
        <w:pStyle w:val="4"/>
        <w:keepNext w:val="0"/>
        <w:keepLines w:val="0"/>
        <w:pageBreakBefore w:val="0"/>
        <w:widowControl w:val="0"/>
        <w:numPr>
          <w:ilvl w:val="0"/>
          <w:numId w:val="5"/>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国有资本预算财政拨款支出决算</w:t>
      </w:r>
      <w:r>
        <w:rPr>
          <w:rFonts w:hint="eastAsia" w:ascii="黑体" w:hAnsi="黑体" w:eastAsia="黑体" w:cs="黑体"/>
          <w:b w:val="0"/>
          <w:bCs/>
          <w:sz w:val="32"/>
          <w:szCs w:val="32"/>
          <w:lang w:eastAsia="zh-CN"/>
        </w:rPr>
        <w:t>情况</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lang w:eastAsia="zh-CN"/>
        </w:rPr>
        <w:t>年度国有资本经营预算财政拨款收入</w:t>
      </w:r>
      <w:r>
        <w:rPr>
          <w:rFonts w:hint="eastAsia" w:ascii="Times New Roman" w:hAnsi="Times New Roman" w:eastAsia="仿宋_GB2312"/>
          <w:sz w:val="32"/>
          <w:szCs w:val="32"/>
          <w:lang w:val="en-US" w:eastAsia="zh-CN"/>
        </w:rPr>
        <w:t>0万元；年初结转和结余0万；</w:t>
      </w:r>
      <w:r>
        <w:rPr>
          <w:rFonts w:hint="eastAsia" w:ascii="Times New Roman" w:hAnsi="Times New Roman" w:eastAsia="仿宋_GB2312"/>
          <w:sz w:val="32"/>
          <w:szCs w:val="32"/>
          <w:lang w:eastAsia="zh-CN"/>
        </w:rPr>
        <w:t>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万元，其中：基本支出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万元，项目支出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万元；年末结转和结余</w:t>
      </w:r>
      <w:r>
        <w:rPr>
          <w:rFonts w:hint="eastAsia" w:ascii="Times New Roman" w:hAnsi="Times New Roman" w:eastAsia="仿宋_GB2312"/>
          <w:sz w:val="32"/>
          <w:szCs w:val="32"/>
          <w:lang w:val="en-US" w:eastAsia="zh-CN"/>
        </w:rPr>
        <w:t>0万元。</w:t>
      </w:r>
    </w:p>
    <w:p>
      <w:pPr>
        <w:pStyle w:val="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九、财政拨款三公经费支出决算情况说明</w:t>
      </w:r>
    </w:p>
    <w:p>
      <w:pPr>
        <w:pStyle w:val="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700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490.5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70.07</w:t>
      </w:r>
      <w:r>
        <w:rPr>
          <w:rFonts w:hint="eastAsia" w:ascii="Times New Roman" w:hAnsi="Times New Roman" w:eastAsia="仿宋_GB2312"/>
          <w:sz w:val="32"/>
          <w:szCs w:val="32"/>
        </w:rPr>
        <w:t>%，其中：</w:t>
      </w:r>
    </w:p>
    <w:p>
      <w:pPr>
        <w:pStyle w:val="4"/>
        <w:keepNext w:val="0"/>
        <w:keepLines w:val="0"/>
        <w:pageBreakBefore w:val="0"/>
        <w:widowControl w:val="0"/>
        <w:numPr>
          <w:ilvl w:val="0"/>
          <w:numId w:val="0"/>
        </w:numPr>
        <w:kinsoku/>
        <w:wordWrap/>
        <w:overflowPunct/>
        <w:topLinePunct w:val="0"/>
        <w:bidi w:val="0"/>
        <w:snapToGrid/>
        <w:spacing w:line="600" w:lineRule="exact"/>
        <w:ind w:left="0" w:leftChars="0" w:firstLine="838" w:firstLineChars="262"/>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因公出国（境）费支出预算为0万元，支出决算为0万元，决算数等于预算数，主要原因是我单位严格按预算执行决算；与上年一致，无增减变动，主要原因是未安排因公出国（境）活动。</w:t>
      </w:r>
      <w:bookmarkStart w:id="0" w:name="_GoBack"/>
      <w:bookmarkEnd w:id="0"/>
    </w:p>
    <w:p>
      <w:pPr>
        <w:pStyle w:val="4"/>
        <w:keepNext w:val="0"/>
        <w:keepLines w:val="0"/>
        <w:pageBreakBefore w:val="0"/>
        <w:widowControl w:val="0"/>
        <w:kinsoku/>
        <w:wordWrap/>
        <w:overflowPunct/>
        <w:topLinePunct w:val="0"/>
        <w:bidi w:val="0"/>
        <w:snapToGrid/>
        <w:spacing w:line="600" w:lineRule="exact"/>
        <w:ind w:left="0" w:leftChars="0" w:firstLine="838" w:firstLineChars="262"/>
        <w:textAlignment w:val="auto"/>
        <w:rPr>
          <w:rFonts w:hint="eastAsia" w:ascii="仿宋_GB2312" w:hAnsi="仿宋_GB2312" w:eastAsia="仿宋_GB2312" w:cs="仿宋_GB2312"/>
          <w:b w:val="0"/>
          <w:bCs/>
          <w:color w:val="auto"/>
          <w:sz w:val="32"/>
          <w:szCs w:val="32"/>
          <w:lang w:eastAsia="zh-CN"/>
        </w:rPr>
      </w:pPr>
      <w:r>
        <w:rPr>
          <w:rFonts w:hint="eastAsia" w:ascii="Times New Roman" w:hAnsi="Times New Roman" w:eastAsia="仿宋_GB2312"/>
          <w:color w:val="auto"/>
          <w:sz w:val="32"/>
          <w:szCs w:val="32"/>
          <w:lang w:val="en-US" w:eastAsia="zh-CN"/>
        </w:rPr>
        <w:t>公</w:t>
      </w:r>
      <w:r>
        <w:rPr>
          <w:rFonts w:hint="eastAsia" w:ascii="Times New Roman" w:hAnsi="Times New Roman" w:eastAsia="仿宋_GB2312"/>
          <w:color w:val="auto"/>
          <w:sz w:val="32"/>
          <w:szCs w:val="32"/>
        </w:rPr>
        <w:t>务接待费支出预算为</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完成预算的0%，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val="en-US" w:eastAsia="zh-CN"/>
        </w:rPr>
        <w:t>本单位2022年度无此项支出</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0.06</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%,减少的主要原因</w:t>
      </w:r>
      <w:r>
        <w:rPr>
          <w:rFonts w:hint="eastAsia" w:ascii="Times New Roman" w:hAnsi="Times New Roman" w:eastAsia="仿宋_GB2312"/>
          <w:color w:val="auto"/>
          <w:sz w:val="32"/>
          <w:szCs w:val="32"/>
          <w:lang w:val="en-US" w:eastAsia="zh-CN"/>
        </w:rPr>
        <w:t>是2022年</w:t>
      </w:r>
      <w:r>
        <w:rPr>
          <w:rFonts w:hint="eastAsia" w:ascii="仿宋_GB2312" w:hAnsi="仿宋_GB2312" w:eastAsia="仿宋_GB2312" w:cs="仿宋_GB2312"/>
          <w:b w:val="0"/>
          <w:bCs/>
          <w:color w:val="auto"/>
          <w:sz w:val="32"/>
          <w:szCs w:val="32"/>
          <w:lang w:eastAsia="zh-CN"/>
        </w:rPr>
        <w:t xml:space="preserve">主要原因是按有关政策厉行节约，严控公务接待支出。 </w:t>
      </w:r>
    </w:p>
    <w:p>
      <w:pPr>
        <w:pStyle w:val="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w:t>
      </w:r>
      <w:r>
        <w:rPr>
          <w:rFonts w:hint="eastAsia" w:ascii="Times New Roman" w:hAnsi="Times New Roman" w:eastAsia="仿宋_GB2312"/>
          <w:sz w:val="32"/>
          <w:szCs w:val="32"/>
        </w:rPr>
        <w:t>务用车购置费支出预算为</w:t>
      </w:r>
      <w:r>
        <w:rPr>
          <w:rFonts w:hint="eastAsia" w:ascii="Times New Roman" w:hAnsi="Times New Roman" w:eastAsia="仿宋_GB2312"/>
          <w:sz w:val="32"/>
          <w:szCs w:val="32"/>
          <w:lang w:val="en-US" w:eastAsia="zh-CN"/>
        </w:rPr>
        <w:t>320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169.5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52.97</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2022年新增车辆一批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根据合同支付60%的车款，</w:t>
      </w:r>
      <w:r>
        <w:rPr>
          <w:rFonts w:hint="eastAsia" w:ascii="Times New Roman" w:hAnsi="Times New Roman" w:eastAsia="仿宋_GB2312"/>
          <w:sz w:val="32"/>
          <w:szCs w:val="32"/>
        </w:rPr>
        <w:t>上年相比增加</w:t>
      </w:r>
      <w:r>
        <w:rPr>
          <w:rFonts w:hint="eastAsia" w:ascii="Times New Roman" w:hAnsi="Times New Roman" w:eastAsia="仿宋_GB2312"/>
          <w:sz w:val="32"/>
          <w:szCs w:val="32"/>
          <w:lang w:val="en-US" w:eastAsia="zh-CN"/>
        </w:rPr>
        <w:t>144.65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582</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支队新购车辆一批。</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374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321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85.83</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厉行节约，严格控制公务用车</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43.44</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15.65</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支队新增警用执勤执法车辆一批。</w:t>
      </w:r>
    </w:p>
    <w:p>
      <w:pPr>
        <w:pStyle w:val="4"/>
        <w:keepNext w:val="0"/>
        <w:keepLines w:val="0"/>
        <w:pageBreakBefore w:val="0"/>
        <w:widowControl w:val="0"/>
        <w:numPr>
          <w:ilvl w:val="0"/>
          <w:numId w:val="3"/>
        </w:numPr>
        <w:kinsoku/>
        <w:wordWrap/>
        <w:overflowPunct/>
        <w:topLinePunct w:val="0"/>
        <w:bidi w:val="0"/>
        <w:snapToGrid/>
        <w:spacing w:line="600" w:lineRule="exact"/>
        <w:ind w:left="0" w:leftChars="0" w:firstLine="480" w:firstLineChars="15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“三公”经费财政拨款支出决算具体情况说明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490.5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000000"/>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r>
        <w:rPr>
          <w:rFonts w:hint="eastAsia" w:ascii="仿宋_GB2312" w:hAnsi="仿宋_GB2312" w:eastAsia="仿宋_GB2312" w:cs="仿宋_GB2312"/>
          <w:b w:val="0"/>
          <w:bCs/>
          <w:color w:val="000000"/>
          <w:sz w:val="32"/>
          <w:szCs w:val="32"/>
          <w:lang w:eastAsia="zh-CN"/>
        </w:rPr>
        <w:t>我单位2022年度无因公出国（境）费支出。</w:t>
      </w:r>
    </w:p>
    <w:p>
      <w:pPr>
        <w:pStyle w:val="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color w:val="000000"/>
          <w:sz w:val="32"/>
          <w:szCs w:val="32"/>
          <w:lang w:val="en-US" w:eastAsia="zh-CN"/>
        </w:rPr>
        <w:t>2、公</w:t>
      </w:r>
      <w:r>
        <w:rPr>
          <w:rFonts w:hint="eastAsia" w:ascii="Times New Roman" w:hAnsi="Times New Roman" w:eastAsia="仿宋_GB2312"/>
          <w:color w:val="000000"/>
          <w:sz w:val="32"/>
          <w:szCs w:val="32"/>
        </w:rPr>
        <w:t>务接待费支出决算为</w:t>
      </w:r>
      <w:r>
        <w:rPr>
          <w:rFonts w:hint="eastAsia" w:ascii="Times New Roman" w:hAnsi="Times New Roman" w:eastAsia="仿宋_GB2312"/>
          <w:color w:val="000000"/>
          <w:sz w:val="32"/>
          <w:szCs w:val="32"/>
          <w:lang w:val="en-US" w:eastAsia="zh-CN"/>
        </w:rPr>
        <w:t>0</w:t>
      </w:r>
      <w:r>
        <w:rPr>
          <w:rFonts w:hint="eastAsia"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0</w:t>
      </w:r>
      <w:r>
        <w:rPr>
          <w:rFonts w:hint="eastAsia" w:ascii="Times New Roman" w:hAnsi="Times New Roman" w:eastAsia="仿宋_GB2312"/>
          <w:color w:val="000000"/>
          <w:sz w:val="32"/>
          <w:szCs w:val="32"/>
        </w:rPr>
        <w:t>个、来宾</w:t>
      </w:r>
      <w:r>
        <w:rPr>
          <w:rFonts w:hint="eastAsia" w:ascii="Times New Roman" w:hAnsi="Times New Roman" w:eastAsia="仿宋_GB2312"/>
          <w:color w:val="000000"/>
          <w:sz w:val="32"/>
          <w:szCs w:val="32"/>
          <w:lang w:val="en-US" w:eastAsia="zh-CN"/>
        </w:rPr>
        <w:t>0</w:t>
      </w:r>
      <w:r>
        <w:rPr>
          <w:rFonts w:hint="eastAsia"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r>
        <w:rPr>
          <w:rFonts w:hint="eastAsia" w:ascii="仿宋_GB2312" w:hAnsi="仿宋_GB2312" w:eastAsia="仿宋_GB2312" w:cs="仿宋_GB2312"/>
          <w:b w:val="0"/>
          <w:bCs/>
          <w:color w:val="000000"/>
          <w:sz w:val="32"/>
          <w:szCs w:val="32"/>
          <w:lang w:eastAsia="zh-CN"/>
        </w:rPr>
        <w:t>我单位2022年度无公务接待费支出。</w:t>
      </w:r>
    </w:p>
    <w:p>
      <w:pPr>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int="eastAsia" w:ascii="宋体" w:hAnsi="宋体" w:eastAsia="仿宋_GB2312" w:cs="黑体"/>
          <w:b/>
          <w:bCs/>
          <w:i w:val="0"/>
          <w:iCs/>
          <w:color w:val="FF0000"/>
          <w:kern w:val="0"/>
          <w:sz w:val="40"/>
          <w:szCs w:val="40"/>
          <w:lang w:eastAsia="zh-CN"/>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490.5</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169.5</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单位本级及各直属单位</w:t>
      </w:r>
      <w:r>
        <w:rPr>
          <w:rFonts w:hint="eastAsia" w:ascii="Times New Roman" w:hAnsi="Times New Roman" w:eastAsia="仿宋_GB2312"/>
          <w:sz w:val="32"/>
          <w:szCs w:val="32"/>
        </w:rPr>
        <w:t>更新</w:t>
      </w:r>
      <w:r>
        <w:rPr>
          <w:rFonts w:hint="eastAsia" w:ascii="Times New Roman" w:hAnsi="Times New Roman" w:eastAsia="仿宋_GB2312"/>
          <w:sz w:val="32"/>
          <w:szCs w:val="32"/>
          <w:lang w:val="en-US" w:eastAsia="zh-CN"/>
        </w:rPr>
        <w:t>警用</w:t>
      </w:r>
      <w:r>
        <w:rPr>
          <w:rFonts w:hint="eastAsia" w:ascii="Times New Roman" w:hAnsi="Times New Roman" w:eastAsia="仿宋_GB2312"/>
          <w:sz w:val="32"/>
          <w:szCs w:val="32"/>
        </w:rPr>
        <w:t>车</w:t>
      </w:r>
      <w:r>
        <w:rPr>
          <w:rFonts w:hint="eastAsia" w:ascii="Times New Roman" w:hAnsi="Times New Roman" w:eastAsia="仿宋_GB2312"/>
          <w:sz w:val="32"/>
          <w:szCs w:val="32"/>
          <w:lang w:val="en-US" w:eastAsia="zh-CN"/>
        </w:rPr>
        <w:t>14</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报废5辆</w:t>
      </w:r>
      <w:r>
        <w:rPr>
          <w:rFonts w:hint="eastAsia" w:ascii="Times New Roman" w:hAnsi="Times New Roman" w:eastAsia="仿宋_GB2312"/>
          <w:color w:val="000000"/>
          <w:sz w:val="32"/>
          <w:szCs w:val="32"/>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321</w:t>
      </w:r>
      <w:r>
        <w:rPr>
          <w:rFonts w:hint="eastAsia" w:ascii="Times New Roman" w:hAnsi="Times New Roman" w:eastAsia="仿宋_GB2312"/>
          <w:sz w:val="32"/>
          <w:szCs w:val="32"/>
        </w:rPr>
        <w:t>元，主要</w:t>
      </w:r>
      <w:r>
        <w:rPr>
          <w:rFonts w:hint="eastAsia" w:ascii="Times New Roman" w:hAnsi="Times New Roman" w:eastAsia="仿宋_GB2312"/>
          <w:sz w:val="32"/>
          <w:szCs w:val="32"/>
          <w:lang w:val="en-US" w:eastAsia="zh-CN"/>
        </w:rPr>
        <w:t>是公务用车日常运行及维护等</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87</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sz w:val="32"/>
          <w:szCs w:val="32"/>
        </w:rPr>
      </w:pPr>
      <w:r>
        <w:rPr>
          <w:rFonts w:hint="eastAsia" w:ascii="黑体" w:hAnsi="黑体" w:eastAsia="黑体" w:cs="黑体"/>
          <w:b/>
          <w:sz w:val="32"/>
          <w:szCs w:val="32"/>
          <w:lang w:eastAsia="zh-CN"/>
        </w:rPr>
        <w:t>十、</w:t>
      </w:r>
      <w:r>
        <w:rPr>
          <w:rFonts w:hint="eastAsia" w:ascii="黑体" w:hAnsi="黑体" w:eastAsia="黑体" w:cs="黑体"/>
          <w:b/>
          <w:sz w:val="32"/>
          <w:szCs w:val="32"/>
        </w:rPr>
        <w:t>关于机关运行经费支出说明</w:t>
      </w:r>
    </w:p>
    <w:p>
      <w:pPr>
        <w:pStyle w:val="4"/>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9099.17</w:t>
      </w:r>
      <w:r>
        <w:rPr>
          <w:rFonts w:hint="eastAsia" w:ascii="Times New Roman" w:hAnsi="Times New Roman" w:eastAsia="仿宋_GB2312"/>
          <w:sz w:val="32"/>
          <w:szCs w:val="32"/>
        </w:rPr>
        <w:t>万元，比上年决算数增加</w:t>
      </w:r>
      <w:r>
        <w:rPr>
          <w:rFonts w:hint="eastAsia" w:ascii="Times New Roman" w:hAnsi="Times New Roman" w:eastAsia="仿宋_GB2312"/>
          <w:sz w:val="32"/>
          <w:szCs w:val="32"/>
          <w:lang w:val="en-US" w:eastAsia="zh-CN"/>
        </w:rPr>
        <w:t>1116.59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14</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根据财政部门要求辅警工资福利支出由人员经费调整至劳务费支出，因此公用经费支出增加。</w:t>
      </w:r>
    </w:p>
    <w:p>
      <w:pPr>
        <w:pStyle w:val="4"/>
        <w:keepNext w:val="0"/>
        <w:keepLines w:val="0"/>
        <w:pageBreakBefore w:val="0"/>
        <w:widowControl w:val="0"/>
        <w:numPr>
          <w:ilvl w:val="0"/>
          <w:numId w:val="6"/>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一般性支出情况说明</w:t>
      </w:r>
    </w:p>
    <w:p>
      <w:pPr>
        <w:pStyle w:val="4"/>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2022年度，会议费年初预算0万元，支出决算为2.6万元</w:t>
      </w:r>
      <w:r>
        <w:rPr>
          <w:rFonts w:hint="eastAsia" w:ascii="Times New Roman" w:hAnsi="Times New Roman" w:eastAsia="仿宋_GB2312"/>
          <w:sz w:val="32"/>
          <w:szCs w:val="32"/>
        </w:rPr>
        <w:t>，</w:t>
      </w:r>
      <w:r>
        <w:rPr>
          <w:rFonts w:hint="eastAsia" w:ascii="仿宋_GB2312" w:hAnsi="仿宋_GB2312" w:eastAsia="仿宋_GB2312" w:cs="仿宋_GB2312"/>
          <w:color w:val="auto"/>
          <w:sz w:val="32"/>
          <w:szCs w:val="32"/>
          <w:lang w:val="en-US" w:eastAsia="zh-CN"/>
        </w:rPr>
        <w:t>决算数大于年初预算数的主要原因是</w:t>
      </w:r>
      <w:r>
        <w:rPr>
          <w:rFonts w:hint="eastAsia" w:ascii="Times New Roman" w:hAnsi="Times New Roman" w:eastAsia="仿宋_GB2312"/>
          <w:color w:val="auto"/>
          <w:sz w:val="32"/>
          <w:szCs w:val="32"/>
        </w:rPr>
        <w:t>用于召开</w:t>
      </w:r>
      <w:r>
        <w:rPr>
          <w:rFonts w:hint="eastAsia" w:ascii="Times New Roman" w:hAnsi="Times New Roman" w:eastAsia="仿宋_GB2312"/>
          <w:color w:val="auto"/>
          <w:sz w:val="32"/>
          <w:szCs w:val="32"/>
          <w:lang w:val="en-US" w:eastAsia="zh-CN"/>
        </w:rPr>
        <w:t>顽瘴痼疾整治会议和全市交通问题顽瘴痼</w:t>
      </w:r>
      <w:r>
        <w:rPr>
          <w:rFonts w:hint="eastAsia" w:ascii="Times New Roman" w:hAnsi="Times New Roman" w:eastAsia="仿宋_GB2312"/>
          <w:sz w:val="32"/>
          <w:szCs w:val="32"/>
          <w:lang w:val="en-US" w:eastAsia="zh-CN"/>
        </w:rPr>
        <w:t>疾集中整治推进</w:t>
      </w:r>
      <w:r>
        <w:rPr>
          <w:rFonts w:hint="eastAsia" w:ascii="Times New Roman" w:hAnsi="Times New Roman" w:eastAsia="仿宋_GB2312"/>
          <w:sz w:val="32"/>
          <w:szCs w:val="32"/>
        </w:rPr>
        <w:t>会议，人数</w:t>
      </w:r>
      <w:r>
        <w:rPr>
          <w:rFonts w:hint="eastAsia" w:ascii="Times New Roman" w:hAnsi="Times New Roman" w:eastAsia="仿宋_GB2312"/>
          <w:sz w:val="32"/>
          <w:szCs w:val="32"/>
          <w:lang w:val="en-US" w:eastAsia="zh-CN"/>
        </w:rPr>
        <w:t>57</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顽瘴痼疾整治等</w:t>
      </w:r>
      <w:r>
        <w:rPr>
          <w:rFonts w:hint="eastAsia" w:ascii="Times New Roman" w:hAnsi="Times New Roman" w:eastAsia="仿宋_GB2312"/>
          <w:sz w:val="32"/>
          <w:szCs w:val="32"/>
        </w:rPr>
        <w:t>；</w:t>
      </w:r>
    </w:p>
    <w:p>
      <w:pPr>
        <w:pStyle w:val="4"/>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培训费年初预算0万元，支出决算为21.88</w:t>
      </w:r>
      <w:r>
        <w:rPr>
          <w:rFonts w:hint="eastAsia" w:ascii="Times New Roman" w:hAnsi="Times New Roman" w:eastAsia="仿宋_GB2312"/>
          <w:sz w:val="32"/>
          <w:szCs w:val="32"/>
        </w:rPr>
        <w:t>万元，</w:t>
      </w:r>
      <w:r>
        <w:rPr>
          <w:rFonts w:hint="eastAsia" w:ascii="仿宋_GB2312" w:hAnsi="仿宋_GB2312" w:eastAsia="仿宋_GB2312" w:cs="仿宋_GB2312"/>
          <w:color w:val="000000"/>
          <w:sz w:val="32"/>
          <w:szCs w:val="32"/>
          <w:lang w:val="en-US" w:eastAsia="zh-CN"/>
        </w:rPr>
        <w:t>决算数大于年初预</w:t>
      </w:r>
      <w:r>
        <w:rPr>
          <w:rFonts w:hint="eastAsia" w:ascii="仿宋_GB2312" w:hAnsi="仿宋_GB2312" w:eastAsia="仿宋_GB2312" w:cs="仿宋_GB2312"/>
          <w:sz w:val="32"/>
          <w:szCs w:val="32"/>
          <w:lang w:val="en-US" w:eastAsia="zh-CN"/>
        </w:rPr>
        <w:t>算数的主要原因是</w:t>
      </w:r>
      <w:r>
        <w:rPr>
          <w:rFonts w:hint="eastAsia" w:ascii="Times New Roman" w:hAnsi="Times New Roman" w:eastAsia="仿宋_GB2312"/>
          <w:sz w:val="32"/>
          <w:szCs w:val="32"/>
        </w:rPr>
        <w:t>用于开展</w:t>
      </w:r>
      <w:r>
        <w:rPr>
          <w:rFonts w:hint="eastAsia" w:ascii="Times New Roman" w:hAnsi="Times New Roman" w:eastAsia="仿宋_GB2312"/>
          <w:sz w:val="32"/>
          <w:szCs w:val="32"/>
          <w:lang w:val="en-US" w:eastAsia="zh-CN"/>
        </w:rPr>
        <w:t>全市防冲撞培训、车管所全省大练兵比武、新警</w:t>
      </w:r>
      <w:r>
        <w:rPr>
          <w:rFonts w:hint="eastAsia" w:ascii="Times New Roman" w:hAnsi="Times New Roman" w:eastAsia="仿宋_GB2312"/>
          <w:sz w:val="32"/>
          <w:szCs w:val="32"/>
        </w:rPr>
        <w:t>培训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车管所查验员培训</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辅警教育培训等，</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630</w:t>
      </w:r>
      <w:r>
        <w:rPr>
          <w:rFonts w:hint="eastAsia" w:ascii="Times New Roman" w:hAnsi="Times New Roman" w:eastAsia="仿宋_GB2312"/>
          <w:sz w:val="32"/>
          <w:szCs w:val="32"/>
        </w:rPr>
        <w:t>人，内容</w:t>
      </w:r>
      <w:r>
        <w:rPr>
          <w:rFonts w:hint="eastAsia" w:ascii="Times New Roman" w:hAnsi="Times New Roman" w:eastAsia="仿宋_GB2312"/>
          <w:sz w:val="32"/>
          <w:szCs w:val="32"/>
          <w:lang w:val="en-US" w:eastAsia="zh-CN"/>
        </w:rPr>
        <w:t>为民辅警业务及集中教育培训。</w:t>
      </w:r>
    </w:p>
    <w:p>
      <w:pPr>
        <w:pStyle w:val="4"/>
        <w:ind w:firstLine="640" w:firstLineChars="200"/>
        <w:rPr>
          <w:rFonts w:hint="eastAsia" w:ascii="楷体" w:hAnsi="楷体" w:eastAsia="楷体" w:cs="楷体"/>
          <w:b/>
          <w:bCs/>
          <w:i/>
          <w:color w:val="000000"/>
          <w:kern w:val="0"/>
          <w:sz w:val="32"/>
          <w:szCs w:val="32"/>
          <w:lang w:val="en-US" w:eastAsia="zh-CN" w:bidi="ar-SA"/>
        </w:rPr>
      </w:pPr>
      <w:r>
        <w:rPr>
          <w:rFonts w:hint="eastAsia" w:ascii="Times New Roman" w:hAnsi="Times New Roman" w:eastAsia="仿宋_GB2312"/>
          <w:sz w:val="32"/>
          <w:szCs w:val="32"/>
          <w:lang w:val="en-US" w:eastAsia="zh-CN"/>
        </w:rPr>
        <w:t>本单位无举办节庆、晚会、论坛、赛事等活动的预算和支出决算数。</w:t>
      </w:r>
    </w:p>
    <w:p>
      <w:pPr>
        <w:pStyle w:val="4"/>
        <w:keepNext w:val="0"/>
        <w:keepLines w:val="0"/>
        <w:pageBreakBefore w:val="0"/>
        <w:widowControl w:val="0"/>
        <w:numPr>
          <w:ilvl w:val="0"/>
          <w:numId w:val="6"/>
        </w:numPr>
        <w:kinsoku/>
        <w:wordWrap/>
        <w:overflowPunct/>
        <w:topLinePunct w:val="0"/>
        <w:bidi w:val="0"/>
        <w:snapToGrid/>
        <w:spacing w:line="600" w:lineRule="exact"/>
        <w:ind w:left="0" w:leftChars="0"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关于政府采购支出说明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000000" w:themeColor="text1"/>
          <w:sz w:val="32"/>
          <w:szCs w:val="32"/>
          <w:highlight w:val="red"/>
          <w14:textFill>
            <w14:solidFill>
              <w14:schemeClr w14:val="tx1"/>
            </w14:solidFill>
          </w14:textFill>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5463.9</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1482.58</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316.1</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3665.23</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highlight w:val="none"/>
        </w:rPr>
        <w:t>授予中小企业合同金额</w:t>
      </w:r>
      <w:r>
        <w:rPr>
          <w:rFonts w:hint="eastAsia" w:ascii="Times New Roman" w:hAnsi="Times New Roman" w:eastAsia="仿宋_GB2312"/>
          <w:color w:val="auto"/>
          <w:sz w:val="32"/>
          <w:szCs w:val="32"/>
          <w:highlight w:val="none"/>
          <w:lang w:val="en-US" w:eastAsia="zh-CN"/>
        </w:rPr>
        <w:t>3642.04</w:t>
      </w:r>
      <w:r>
        <w:rPr>
          <w:rFonts w:hint="eastAsia" w:ascii="Times New Roman" w:hAnsi="Times New Roman" w:eastAsia="仿宋_GB2312"/>
          <w:color w:val="auto"/>
          <w:sz w:val="32"/>
          <w:szCs w:val="32"/>
          <w:highlight w:val="none"/>
        </w:rPr>
        <w:t>万元，占政府采购支出总额的</w:t>
      </w:r>
      <w:r>
        <w:rPr>
          <w:rFonts w:hint="eastAsia" w:ascii="Times New Roman" w:hAnsi="Times New Roman" w:eastAsia="仿宋_GB2312"/>
          <w:color w:val="auto"/>
          <w:sz w:val="32"/>
          <w:szCs w:val="32"/>
          <w:highlight w:val="none"/>
          <w:lang w:val="en-US" w:eastAsia="zh-CN"/>
        </w:rPr>
        <w:t>66.66</w:t>
      </w:r>
      <w:r>
        <w:rPr>
          <w:rFonts w:hint="eastAsia" w:ascii="Times New Roman" w:hAnsi="Times New Roman" w:eastAsia="仿宋_GB2312"/>
          <w:color w:val="auto"/>
          <w:sz w:val="32"/>
          <w:szCs w:val="32"/>
          <w:highlight w:val="none"/>
        </w:rPr>
        <w:t>%，</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3642.04</w:t>
      </w:r>
      <w:r>
        <w:rPr>
          <w:rFonts w:hint="eastAsia" w:ascii="Times New Roman" w:hAnsi="Times New Roman" w:eastAsia="仿宋_GB2312"/>
          <w:sz w:val="32"/>
          <w:szCs w:val="32"/>
        </w:rPr>
        <w:t>万元，占授予中小企业合同金额的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color w:val="000000" w:themeColor="text1"/>
          <w:sz w:val="32"/>
          <w:szCs w:val="32"/>
          <w:highlight w:val="none"/>
          <w14:textFill>
            <w14:solidFill>
              <w14:schemeClr w14:val="tx1"/>
            </w14:solidFill>
          </w14:textFill>
        </w:rPr>
        <w:t>货物采购授予中小企业合同金额占货物支出金额的</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100</w:t>
      </w:r>
      <w:r>
        <w:rPr>
          <w:rFonts w:hint="eastAsia" w:ascii="Times New Roman" w:hAnsi="Times New Roman" w:eastAsia="仿宋_GB2312"/>
          <w:color w:val="000000" w:themeColor="text1"/>
          <w:sz w:val="32"/>
          <w:szCs w:val="32"/>
          <w:highlight w:val="none"/>
          <w14:textFill>
            <w14:solidFill>
              <w14:schemeClr w14:val="tx1"/>
            </w14:solidFill>
          </w14:textFill>
        </w:rPr>
        <w:t>%，工程采购授予中小企业合同金额占工程支出金额的</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100</w:t>
      </w:r>
      <w:r>
        <w:rPr>
          <w:rFonts w:hint="eastAsia" w:ascii="Times New Roman" w:hAnsi="Times New Roman" w:eastAsia="仿宋_GB2312"/>
          <w:color w:val="000000" w:themeColor="text1"/>
          <w:sz w:val="32"/>
          <w:szCs w:val="32"/>
          <w:highlight w:val="none"/>
          <w14:textFill>
            <w14:solidFill>
              <w14:schemeClr w14:val="tx1"/>
            </w14:solidFill>
          </w14:textFill>
        </w:rPr>
        <w:t>%，服务采购授予中小企业合同金额占服务支出金额的</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50.29</w:t>
      </w:r>
      <w:r>
        <w:rPr>
          <w:rFonts w:hint="eastAsia" w:ascii="Times New Roman" w:hAnsi="Times New Roman" w:eastAsia="仿宋_GB2312"/>
          <w:color w:val="000000" w:themeColor="text1"/>
          <w:sz w:val="32"/>
          <w:szCs w:val="32"/>
          <w:highlight w:val="none"/>
          <w14:textFill>
            <w14:solidFill>
              <w14:schemeClr w14:val="tx1"/>
            </w14:solidFill>
          </w14:textFill>
        </w:rPr>
        <w:t>%。</w:t>
      </w:r>
    </w:p>
    <w:p>
      <w:pPr>
        <w:pStyle w:val="4"/>
        <w:keepNext w:val="0"/>
        <w:keepLines w:val="0"/>
        <w:pageBreakBefore w:val="0"/>
        <w:widowControl w:val="0"/>
        <w:numPr>
          <w:ilvl w:val="0"/>
          <w:numId w:val="6"/>
        </w:numPr>
        <w:kinsoku/>
        <w:wordWrap/>
        <w:overflowPunct/>
        <w:topLinePunct w:val="0"/>
        <w:bidi w:val="0"/>
        <w:snapToGrid/>
        <w:spacing w:line="60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关于国有资产占用情况说明</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87</w:t>
      </w:r>
      <w:r>
        <w:rPr>
          <w:rFonts w:hint="eastAsia" w:ascii="Times New Roman" w:hAnsi="Times New Roman" w:eastAsia="仿宋_GB2312"/>
          <w:sz w:val="32"/>
          <w:szCs w:val="32"/>
        </w:rPr>
        <w:t>辆，其中执法执勤用车</w:t>
      </w:r>
      <w:r>
        <w:rPr>
          <w:rFonts w:hint="eastAsia" w:ascii="Times New Roman" w:hAnsi="Times New Roman" w:eastAsia="仿宋_GB2312"/>
          <w:sz w:val="32"/>
          <w:szCs w:val="32"/>
          <w:lang w:val="en-US" w:eastAsia="zh-CN"/>
        </w:rPr>
        <w:t>82</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val="en-US" w:eastAsia="zh-CN"/>
        </w:rPr>
        <w:t>其他专用车辆等</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台（套）。</w:t>
      </w:r>
    </w:p>
    <w:p>
      <w:pPr>
        <w:pStyle w:val="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四</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（一）绩效管理评价工作开展情况。</w:t>
      </w:r>
    </w:p>
    <w:p>
      <w:pPr>
        <w:pStyle w:val="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根据预算绩效管理要求，我们组织对</w:t>
      </w:r>
      <w:r>
        <w:rPr>
          <w:rFonts w:hint="eastAsia" w:ascii="仿宋_GB2312" w:hAnsi="仿宋_GB2312" w:eastAsia="仿宋_GB2312" w:cs="仿宋_GB2312"/>
          <w:b w:val="0"/>
          <w:bCs w:val="0"/>
          <w:sz w:val="32"/>
          <w:szCs w:val="32"/>
          <w:lang w:val="en-US" w:eastAsia="zh-CN"/>
        </w:rPr>
        <w:t>2022年度整体支出和项目资金实施了全覆盖性的绩效评价，撰写了绩效自评报告。</w:t>
      </w:r>
    </w:p>
    <w:p>
      <w:pPr>
        <w:pStyle w:val="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组织开展整体支出绩效评价，涉及一般公共预算支出23068.97万元，政府性基金预算支出0万元，国有资本经营预算支出0万元。从评价情况来看，整体支出绩效评价中，2022年整体支出23486.22万元，其中：基本支出18328.38万元，项目支出5157.84万元，本单位整体支出绩效自评综合评分99分，评价结果等次为优。</w:t>
      </w:r>
    </w:p>
    <w:p>
      <w:pPr>
        <w:pStyle w:val="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组织对一般公共预算项目支出全面开展绩效自评，项目4个，共涉及资金5157.84万元，占一般公共预算项目支出总额的100%。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0分，评价结果等次为空。</w:t>
      </w:r>
    </w:p>
    <w:p>
      <w:pPr>
        <w:pStyle w:val="4"/>
        <w:keepNext w:val="0"/>
        <w:keepLines w:val="0"/>
        <w:pageBreakBefore w:val="0"/>
        <w:widowControl w:val="0"/>
        <w:numPr>
          <w:ilvl w:val="0"/>
          <w:numId w:val="7"/>
        </w:numPr>
        <w:kinsoku/>
        <w:wordWrap/>
        <w:overflowPunct/>
        <w:topLinePunct w:val="0"/>
        <w:bidi w:val="0"/>
        <w:snapToGrid/>
        <w:spacing w:line="600" w:lineRule="exact"/>
        <w:ind w:leftChars="200" w:firstLine="320" w:firstLineChars="1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部门决算中绩效自评结果情况。 </w:t>
      </w:r>
    </w:p>
    <w:p>
      <w:pPr>
        <w:numPr>
          <w:ilvl w:val="0"/>
          <w:numId w:val="0"/>
        </w:numPr>
        <w:autoSpaceDN w:val="0"/>
        <w:spacing w:line="240" w:lineRule="auto"/>
        <w:ind w:firstLine="640" w:firstLineChars="200"/>
        <w:jc w:val="left"/>
        <w:textAlignment w:val="center"/>
        <w:rPr>
          <w:rFonts w:hint="eastAsia" w:ascii="仿宋_GB2312" w:eastAsia="仿宋_GB2312" w:cs="仿宋_GB2312"/>
          <w:bCs/>
          <w:sz w:val="32"/>
          <w:szCs w:val="32"/>
        </w:rPr>
      </w:pPr>
      <w:r>
        <w:rPr>
          <w:rFonts w:hint="eastAsia" w:ascii="仿宋_GB2312" w:eastAsia="仿宋_GB2312" w:cs="仿宋_GB2312"/>
          <w:bCs/>
          <w:sz w:val="32"/>
          <w:szCs w:val="32"/>
          <w:lang w:val="en-US" w:eastAsia="zh-CN"/>
        </w:rPr>
        <w:t>根据年初设定的绩效目标，绩效自评得分为99 分。全年预算数为17998.08 万元，执行数为23486.22万元，</w:t>
      </w:r>
      <w:r>
        <w:rPr>
          <w:rFonts w:hint="eastAsia" w:ascii="仿宋_GB2312" w:eastAsia="仿宋_GB2312" w:cs="仿宋_GB2312"/>
          <w:bCs/>
          <w:sz w:val="32"/>
          <w:szCs w:val="32"/>
          <w:highlight w:val="none"/>
          <w:lang w:val="en-US" w:eastAsia="zh-CN"/>
        </w:rPr>
        <w:t>完成预算的130.49%。</w:t>
      </w:r>
      <w:r>
        <w:rPr>
          <w:rFonts w:hint="eastAsia" w:ascii="仿宋_GB2312" w:eastAsia="仿宋_GB2312" w:cs="仿宋_GB2312"/>
          <w:bCs/>
          <w:sz w:val="32"/>
          <w:szCs w:val="32"/>
          <w:lang w:val="en-US" w:eastAsia="zh-CN"/>
        </w:rPr>
        <w:t>绩效目标完成情况：一是铁腕整治风险隐患。重型挂车、危化品车违法处理率达100%。整改治理临水临崖、急弯陡坡、“五小工程”、穿村过镇等风险路段，107国道岳阳段纳入省级示范公路创建。全市重点运输企业备案率100%。二是精准发力秩序管控。全面疏堵治乱、综合治理，智能交通系统二期建设已向市政府报告，正有序推进。全市农村手机APP安装率以及劝导员、村辅警劝导率达100%以上。三是高频高效部门联动。进一步整合整治办、道安办力量，通过“两个平台”“六个专班”，完善联动共管模式，加强精准指导，凝聚强大合力。四是聚力聚焦民生重点。“放管服”落实落地。“交管12123”、湖南公安服务平台等“掌中办”全市覆盖，建成应用“道安监管云”一期，可归集各类交通管理数据。设施建设有序推进。调整洞庭大道、德胜南路、金凤桥路、东城小学等路段标志标线，优化岳阳大道、巴陵大道、建湘路等路口信号灯，市人大常委会高票审议通过全市道路交通安全管理意见整改落实情况。五是多维立体创新宣教。“五大曝光行动”全媒体覆盖，建立村口固定式警示牌，通过农村“大喇叭”、微信群推送警示提示类信息，全方位丰富宣传维度。发现的主要问题及原</w:t>
      </w:r>
      <w:r>
        <w:rPr>
          <w:rFonts w:hint="eastAsia" w:ascii="仿宋_GB2312" w:hAnsi="仿宋_GB2312" w:eastAsia="仿宋_GB2312" w:cs="仿宋_GB2312"/>
          <w:b w:val="0"/>
          <w:bCs w:val="0"/>
          <w:color w:val="000000"/>
          <w:sz w:val="32"/>
          <w:szCs w:val="32"/>
          <w:lang w:val="en-US" w:eastAsia="zh-CN"/>
        </w:rPr>
        <w:t>因：</w:t>
      </w:r>
      <w:r>
        <w:rPr>
          <w:rFonts w:hint="eastAsia" w:ascii="仿宋_GB2312" w:eastAsia="仿宋_GB2312" w:cs="仿宋_GB2312"/>
          <w:bCs/>
          <w:color w:val="000000"/>
          <w:sz w:val="32"/>
          <w:szCs w:val="32"/>
          <w:lang w:val="en-US" w:eastAsia="zh-CN"/>
        </w:rPr>
        <w:t>预算管理工作需完善、绩效理念需加强，绩效激励约束作用有待提高</w:t>
      </w:r>
      <w:r>
        <w:rPr>
          <w:rFonts w:hint="eastAsia" w:ascii="仿宋_GB2312" w:hAnsi="仿宋_GB2312" w:eastAsia="仿宋_GB2312" w:cs="仿宋_GB2312"/>
          <w:b w:val="0"/>
          <w:bCs w:val="0"/>
          <w:color w:val="000000"/>
          <w:sz w:val="32"/>
          <w:szCs w:val="32"/>
          <w:lang w:val="en-US" w:eastAsia="zh-CN"/>
        </w:rPr>
        <w:t>。</w:t>
      </w:r>
      <w:r>
        <w:rPr>
          <w:rFonts w:hint="eastAsia" w:ascii="仿宋_GB2312" w:hAnsi="仿宋_GB2312" w:eastAsia="仿宋_GB2312" w:cs="仿宋_GB2312"/>
          <w:b w:val="0"/>
          <w:bCs w:val="0"/>
          <w:sz w:val="32"/>
          <w:szCs w:val="32"/>
          <w:lang w:val="en-US" w:eastAsia="zh-CN"/>
        </w:rPr>
        <w:t>下一步改进措施：一是</w:t>
      </w:r>
      <w:r>
        <w:rPr>
          <w:rFonts w:hint="eastAsia" w:ascii="仿宋_GB2312" w:eastAsia="仿宋_GB2312" w:cs="仿宋_GB2312"/>
          <w:bCs/>
          <w:sz w:val="32"/>
          <w:szCs w:val="32"/>
        </w:rPr>
        <w:t>支队在今后的工作中</w:t>
      </w:r>
      <w:r>
        <w:rPr>
          <w:rFonts w:hint="eastAsia" w:ascii="仿宋_GB2312" w:eastAsia="仿宋_GB2312" w:cs="仿宋_GB2312"/>
          <w:bCs/>
          <w:sz w:val="32"/>
          <w:szCs w:val="32"/>
          <w:lang w:val="en-US" w:eastAsia="zh-CN"/>
        </w:rPr>
        <w:t>加强预算编制工作，认真做好预算的编制，提升财务人员工作能力，加强学习，做到</w:t>
      </w:r>
      <w:r>
        <w:rPr>
          <w:rFonts w:hint="eastAsia" w:ascii="仿宋_GB2312" w:eastAsia="仿宋_GB2312" w:cs="仿宋_GB2312"/>
          <w:bCs/>
          <w:sz w:val="32"/>
          <w:szCs w:val="32"/>
        </w:rPr>
        <w:t>进一步合理安排资金支付，提高预算执行率</w:t>
      </w:r>
      <w:r>
        <w:rPr>
          <w:rFonts w:hint="eastAsia" w:ascii="仿宋_GB2312" w:eastAsia="仿宋_GB2312" w:cs="仿宋_GB2312"/>
          <w:bCs/>
          <w:sz w:val="32"/>
          <w:szCs w:val="32"/>
          <w:lang w:eastAsia="zh-CN"/>
        </w:rPr>
        <w:t>。</w:t>
      </w:r>
      <w:r>
        <w:rPr>
          <w:rFonts w:hint="eastAsia" w:ascii="仿宋_GB2312" w:eastAsia="仿宋_GB2312" w:cs="仿宋_GB2312"/>
          <w:bCs/>
          <w:sz w:val="32"/>
          <w:szCs w:val="32"/>
          <w:lang w:val="en-US" w:eastAsia="zh-CN"/>
        </w:rPr>
        <w:t>加强财务管理，严格按照预算规定的用途进行资金使用审核，确保资金使用合法合规、安全高效；二是</w:t>
      </w:r>
      <w:r>
        <w:rPr>
          <w:rFonts w:hint="eastAsia" w:ascii="仿宋_GB2312" w:eastAsia="仿宋_GB2312" w:cs="仿宋_GB2312"/>
          <w:bCs/>
          <w:sz w:val="32"/>
          <w:szCs w:val="32"/>
        </w:rPr>
        <w:t>结合实际完善内部控制体系建设，强化对资金绩效实现情况的责任约束，提高项目财务管理制度的完备性，加强财政资金使用效益跟踪“回头看”，及时预控、查找资金使用和管理过程中的薄弱环节，提出纠偏措施，确保后续绩效目标的有效实现提供有力支撑。</w:t>
      </w:r>
    </w:p>
    <w:p>
      <w:pPr>
        <w:pStyle w:val="4"/>
        <w:keepNext w:val="0"/>
        <w:keepLines w:val="0"/>
        <w:pageBreakBefore w:val="0"/>
        <w:widowControl w:val="0"/>
        <w:kinsoku/>
        <w:wordWrap/>
        <w:overflowPunct/>
        <w:topLinePunct w:val="0"/>
        <w:bidi w:val="0"/>
        <w:snapToGrid/>
        <w:spacing w:line="600" w:lineRule="exact"/>
        <w:ind w:left="0"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（三）部门评价项目绩效评价结果。</w:t>
      </w:r>
    </w:p>
    <w:p>
      <w:pPr>
        <w:autoSpaceDE w:val="0"/>
        <w:autoSpaceDN w:val="0"/>
        <w:adjustRightInd w:val="0"/>
        <w:ind w:left="16" w:leftChars="0" w:hanging="16" w:hangingChars="5"/>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详见附件。</w:t>
      </w:r>
    </w:p>
    <w:p>
      <w:pPr>
        <w:pStyle w:val="4"/>
        <w:jc w:val="both"/>
        <w:rPr>
          <w:rFonts w:hint="eastAsia" w:ascii="方正小标宋_GBK" w:hAnsi="方正小标宋_GBK" w:eastAsia="方正小标宋_GBK" w:cs="方正小标宋_GBK"/>
          <w:sz w:val="72"/>
          <w:szCs w:val="72"/>
        </w:rPr>
      </w:pPr>
    </w:p>
    <w:p>
      <w:pPr>
        <w:pStyle w:val="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ascii="宋体" w:hAnsi="宋体" w:cs="黑体"/>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ind w:firstLine="640" w:firstLineChars="200"/>
        <w:jc w:val="left"/>
        <w:rPr>
          <w:rFonts w:hint="eastAsia" w:ascii="宋体" w:hAnsi="宋体" w:cs="黑体"/>
          <w:color w:val="000000"/>
          <w:kern w:val="0"/>
          <w:sz w:val="32"/>
          <w:szCs w:val="32"/>
        </w:rPr>
      </w:pPr>
      <w:r>
        <w:rPr>
          <w:rFonts w:hint="eastAsia" w:ascii="宋体" w:hAnsi="宋体"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楷体" w:hAnsi="楷体" w:eastAsia="楷体" w:cs="楷体"/>
          <w:b/>
          <w:bCs/>
          <w:i/>
          <w:color w:val="FF0000"/>
          <w:kern w:val="0"/>
          <w:sz w:val="32"/>
          <w:szCs w:val="32"/>
          <w:lang w:val="en-US" w:eastAsia="zh-CN" w:bidi="ar-SA"/>
        </w:rPr>
      </w:pPr>
      <w:r>
        <w:rPr>
          <w:rFonts w:hint="eastAsia" w:ascii="宋体" w:hAnsi="宋体" w:cs="黑体"/>
          <w:color w:val="000000"/>
          <w:kern w:val="0"/>
          <w:sz w:val="32"/>
          <w:szCs w:val="32"/>
        </w:rPr>
        <w:t>二、机关运行经费</w:t>
      </w:r>
      <w:r>
        <w:rPr>
          <w:rFonts w:hint="eastAsia" w:ascii="宋体" w:hAnsi="宋体" w:cs="黑体"/>
          <w:color w:val="000000"/>
          <w:kern w:val="0"/>
          <w:sz w:val="32"/>
          <w:szCs w:val="32"/>
          <w:lang w:eastAsia="zh-CN"/>
        </w:rPr>
        <w:t>，指为保障行政单位（包括参照公务员法管理的事业单位）运行用于购买货物和服务的各项资金</w:t>
      </w:r>
      <w:r>
        <w:rPr>
          <w:rFonts w:hint="eastAsia" w:ascii="宋体" w:hAnsi="宋体" w:cs="黑体"/>
          <w:color w:val="000000"/>
          <w:kern w:val="0"/>
          <w:sz w:val="32"/>
          <w:szCs w:val="32"/>
        </w:rPr>
        <w:t>，包括办公</w:t>
      </w:r>
      <w:r>
        <w:rPr>
          <w:rFonts w:hint="eastAsia" w:ascii="宋体" w:hAnsi="宋体" w:cs="黑体"/>
          <w:color w:val="000000"/>
          <w:kern w:val="0"/>
          <w:sz w:val="32"/>
          <w:szCs w:val="32"/>
          <w:lang w:eastAsia="zh-CN"/>
        </w:rPr>
        <w:t>费、</w:t>
      </w:r>
      <w:r>
        <w:rPr>
          <w:rFonts w:hint="eastAsia" w:ascii="宋体" w:hAnsi="宋体" w:cs="黑体"/>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pStyle w:val="4"/>
        <w:jc w:val="center"/>
        <w:rPr>
          <w:sz w:val="72"/>
          <w:szCs w:val="72"/>
        </w:rPr>
      </w:pPr>
    </w:p>
    <w:p>
      <w:pPr>
        <w:pStyle w:val="4"/>
        <w:jc w:val="center"/>
        <w:rPr>
          <w:rFonts w:hint="eastAsia"/>
          <w:sz w:val="72"/>
          <w:szCs w:val="72"/>
        </w:rPr>
      </w:pPr>
    </w:p>
    <w:p>
      <w:pPr>
        <w:pStyle w:val="4"/>
        <w:jc w:val="center"/>
        <w:rPr>
          <w:rFonts w:hint="eastAsia"/>
          <w:sz w:val="72"/>
          <w:szCs w:val="72"/>
        </w:rPr>
      </w:pPr>
    </w:p>
    <w:p>
      <w:pPr>
        <w:pStyle w:val="4"/>
        <w:jc w:val="center"/>
        <w:rPr>
          <w:rFonts w:hint="eastAsia"/>
          <w:sz w:val="72"/>
          <w:szCs w:val="72"/>
        </w:rPr>
      </w:pPr>
    </w:p>
    <w:p>
      <w:pPr>
        <w:pStyle w:val="4"/>
        <w:jc w:val="center"/>
        <w:rPr>
          <w:rFonts w:hint="eastAsia"/>
          <w:sz w:val="72"/>
          <w:szCs w:val="72"/>
        </w:rPr>
      </w:pPr>
    </w:p>
    <w:p>
      <w:pPr>
        <w:pStyle w:val="4"/>
        <w:jc w:val="center"/>
        <w:rPr>
          <w:rFonts w:hint="eastAsia"/>
          <w:sz w:val="72"/>
          <w:szCs w:val="72"/>
        </w:rPr>
      </w:pPr>
    </w:p>
    <w:p>
      <w:pPr>
        <w:pStyle w:val="4"/>
        <w:jc w:val="center"/>
        <w:rPr>
          <w:rFonts w:hint="eastAsia"/>
          <w:sz w:val="72"/>
          <w:szCs w:val="72"/>
        </w:rPr>
      </w:pPr>
    </w:p>
    <w:p>
      <w:pPr>
        <w:pStyle w:val="4"/>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pStyle w:val="4"/>
        <w:jc w:val="center"/>
        <w:rPr>
          <w:sz w:val="72"/>
          <w:szCs w:val="72"/>
        </w:rPr>
      </w:pPr>
      <w:r>
        <w:rPr>
          <w:rFonts w:hint="eastAsia" w:ascii="黑体" w:eastAsia="黑体" w:cs="黑体"/>
          <w:color w:val="000000"/>
          <w:kern w:val="0"/>
          <w:sz w:val="70"/>
          <w:szCs w:val="70"/>
        </w:rPr>
        <w:t>附件</w:t>
      </w:r>
    </w:p>
    <w:p>
      <w:pPr>
        <w:ind w:firstLine="640" w:firstLineChars="200"/>
        <w:jc w:val="left"/>
        <w:rPr>
          <w:rFonts w:hint="eastAsia" w:ascii="宋体" w:hAnsi="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cs="黑体"/>
          <w:b/>
          <w:color w:val="000000"/>
          <w:kern w:val="0"/>
          <w:sz w:val="32"/>
          <w:szCs w:val="32"/>
          <w:lang w:val="en-US" w:eastAsia="zh-CN"/>
        </w:rPr>
        <w:t>1、2022年部门决算公开表格</w:t>
      </w:r>
    </w:p>
    <w:p>
      <w:pPr>
        <w:ind w:firstLine="640" w:firstLineChars="200"/>
        <w:jc w:val="left"/>
        <w:rPr>
          <w:rFonts w:hint="eastAsia" w:ascii="宋体" w:hAnsi="宋体" w:cs="黑体"/>
          <w:b/>
          <w:color w:val="000000"/>
          <w:kern w:val="0"/>
          <w:sz w:val="32"/>
          <w:szCs w:val="32"/>
        </w:rPr>
      </w:pPr>
      <w:r>
        <w:rPr>
          <w:rFonts w:hint="eastAsia" w:ascii="宋体" w:hAnsi="宋体" w:cs="黑体"/>
          <w:b/>
          <w:color w:val="000000"/>
          <w:kern w:val="0"/>
          <w:sz w:val="32"/>
          <w:szCs w:val="32"/>
          <w:lang w:val="en-US" w:eastAsia="zh-CN"/>
        </w:rPr>
        <w:t>2、</w:t>
      </w:r>
      <w:r>
        <w:rPr>
          <w:rFonts w:hint="eastAsia" w:ascii="宋体" w:hAnsi="宋体" w:cs="黑体"/>
          <w:b/>
          <w:color w:val="000000"/>
          <w:kern w:val="0"/>
          <w:sz w:val="32"/>
          <w:szCs w:val="32"/>
        </w:rPr>
        <w:t>202</w:t>
      </w:r>
      <w:r>
        <w:rPr>
          <w:rFonts w:hint="eastAsia" w:ascii="宋体" w:hAnsi="宋体" w:cs="黑体"/>
          <w:b/>
          <w:color w:val="000000"/>
          <w:kern w:val="0"/>
          <w:sz w:val="32"/>
          <w:szCs w:val="32"/>
          <w:lang w:val="en-US" w:eastAsia="zh-CN"/>
        </w:rPr>
        <w:t>2</w:t>
      </w:r>
      <w:r>
        <w:rPr>
          <w:rFonts w:hint="eastAsia" w:ascii="宋体" w:hAnsi="宋体" w:cs="黑体"/>
          <w:b/>
          <w:color w:val="000000"/>
          <w:kern w:val="0"/>
          <w:sz w:val="32"/>
          <w:szCs w:val="32"/>
        </w:rPr>
        <w:t>年度部门整体支出绩效评价报告</w:t>
      </w:r>
    </w:p>
    <w:p>
      <w:pPr>
        <w:spacing w:line="600" w:lineRule="exact"/>
        <w:jc w:val="center"/>
        <w:rPr>
          <w:rFonts w:hint="eastAsia" w:eastAsia="黑体"/>
          <w:sz w:val="44"/>
          <w:szCs w:val="44"/>
          <w:lang w:val="en-US" w:eastAsia="zh-CN"/>
        </w:rPr>
      </w:pPr>
      <w:r>
        <w:rPr>
          <w:rFonts w:hint="eastAsia" w:eastAsia="黑体"/>
          <w:sz w:val="44"/>
          <w:szCs w:val="44"/>
          <w:lang w:val="en-US" w:eastAsia="zh-CN"/>
        </w:rPr>
        <w:t>2022年度岳阳市公安局交通警察支队</w:t>
      </w:r>
    </w:p>
    <w:p>
      <w:pPr>
        <w:spacing w:line="600" w:lineRule="exact"/>
        <w:jc w:val="center"/>
        <w:rPr>
          <w:rFonts w:hint="default" w:eastAsia="黑体"/>
          <w:sz w:val="44"/>
          <w:szCs w:val="44"/>
          <w:lang w:val="en-US" w:eastAsia="zh-CN"/>
        </w:rPr>
      </w:pPr>
      <w:r>
        <w:rPr>
          <w:rFonts w:hint="eastAsia" w:eastAsia="黑体"/>
          <w:sz w:val="44"/>
          <w:szCs w:val="44"/>
          <w:lang w:val="en-US" w:eastAsia="zh-CN"/>
        </w:rPr>
        <w:t>整体支出绩效自评报告</w:t>
      </w:r>
    </w:p>
    <w:p>
      <w:pPr>
        <w:spacing w:line="24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年，</w:t>
      </w:r>
      <w:r>
        <w:rPr>
          <w:rFonts w:hint="eastAsia" w:ascii="仿宋" w:hAnsi="仿宋" w:eastAsia="仿宋" w:cs="仿宋"/>
          <w:sz w:val="28"/>
          <w:szCs w:val="28"/>
          <w:lang w:val="en-US" w:eastAsia="zh-CN"/>
        </w:rPr>
        <w:t>在市局党委的坚强领导下，全市公安交管部门坚持“人民至上、生命至上”理念，围绕党的二十大交通安保主题主线，扎实推进道路交通安全管理各项工作措施，全市道路交通安全形势平稳有序。</w:t>
      </w:r>
    </w:p>
    <w:p>
      <w:pPr>
        <w:numPr>
          <w:ilvl w:val="0"/>
          <w:numId w:val="8"/>
        </w:numPr>
        <w:spacing w:line="240" w:lineRule="auto"/>
        <w:ind w:firstLine="640" w:firstLineChars="200"/>
        <w:rPr>
          <w:rFonts w:eastAsia="黑体"/>
          <w:sz w:val="32"/>
          <w:szCs w:val="32"/>
        </w:rPr>
      </w:pPr>
      <w:r>
        <w:rPr>
          <w:rFonts w:eastAsia="黑体"/>
          <w:sz w:val="32"/>
          <w:szCs w:val="32"/>
        </w:rPr>
        <w:t>部门（单位）基本情况</w:t>
      </w:r>
    </w:p>
    <w:p>
      <w:pPr>
        <w:autoSpaceDN w:val="0"/>
        <w:spacing w:line="240" w:lineRule="auto"/>
        <w:ind w:firstLine="560" w:firstLineChars="200"/>
        <w:jc w:val="left"/>
        <w:textAlignment w:val="center"/>
        <w:rPr>
          <w:rFonts w:hint="eastAsia" w:ascii="仿宋" w:hAnsi="仿宋" w:eastAsia="仿宋" w:cs="仿宋"/>
          <w:color w:val="000000"/>
          <w:sz w:val="28"/>
          <w:szCs w:val="28"/>
        </w:rPr>
      </w:pPr>
      <w:r>
        <w:rPr>
          <w:rFonts w:hint="eastAsia" w:ascii="仿宋" w:hAnsi="仿宋" w:eastAsia="仿宋" w:cs="仿宋"/>
          <w:color w:val="000000"/>
          <w:sz w:val="28"/>
          <w:szCs w:val="28"/>
        </w:rPr>
        <w:t>岳阳市公安局交通警察支队为岳阳市公安局直属副处级二级机构，内设</w:t>
      </w:r>
      <w:r>
        <w:rPr>
          <w:rFonts w:hint="eastAsia" w:ascii="仿宋" w:hAnsi="仿宋" w:eastAsia="仿宋" w:cs="仿宋"/>
          <w:color w:val="000000"/>
          <w:sz w:val="28"/>
          <w:szCs w:val="28"/>
          <w:lang w:val="en-US" w:eastAsia="zh-CN"/>
        </w:rPr>
        <w:t>12</w:t>
      </w:r>
      <w:r>
        <w:rPr>
          <w:rFonts w:hint="eastAsia" w:ascii="仿宋" w:hAnsi="仿宋" w:eastAsia="仿宋" w:cs="仿宋"/>
          <w:color w:val="000000"/>
          <w:sz w:val="28"/>
          <w:szCs w:val="28"/>
        </w:rPr>
        <w:t>个科室所、</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个业务指导大队、</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个一线勤务大队</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支队主要负责市城区的交通安全直管及全市7个县市大队的业务指导。支队</w:t>
      </w:r>
      <w:r>
        <w:rPr>
          <w:rFonts w:hint="eastAsia" w:ascii="仿宋" w:hAnsi="仿宋" w:eastAsia="仿宋" w:cs="仿宋"/>
          <w:color w:val="000000"/>
          <w:sz w:val="28"/>
          <w:szCs w:val="28"/>
          <w:lang w:val="en-US" w:eastAsia="zh-CN"/>
        </w:rPr>
        <w:t>民警</w:t>
      </w:r>
      <w:r>
        <w:rPr>
          <w:rFonts w:hint="eastAsia" w:ascii="仿宋" w:hAnsi="仿宋" w:eastAsia="仿宋" w:cs="仿宋"/>
          <w:color w:val="000000"/>
          <w:sz w:val="28"/>
          <w:szCs w:val="28"/>
        </w:rPr>
        <w:t>实有</w:t>
      </w:r>
      <w:r>
        <w:rPr>
          <w:rFonts w:hint="eastAsia" w:ascii="仿宋" w:hAnsi="仿宋" w:eastAsia="仿宋" w:cs="仿宋"/>
          <w:color w:val="000000"/>
          <w:sz w:val="28"/>
          <w:szCs w:val="28"/>
          <w:lang w:val="en-US" w:eastAsia="zh-CN"/>
        </w:rPr>
        <w:t>396</w:t>
      </w:r>
      <w:r>
        <w:rPr>
          <w:rFonts w:hint="eastAsia" w:ascii="仿宋" w:hAnsi="仿宋" w:eastAsia="仿宋" w:cs="仿宋"/>
          <w:color w:val="000000"/>
          <w:sz w:val="28"/>
          <w:szCs w:val="28"/>
        </w:rPr>
        <w:t>人，</w:t>
      </w:r>
      <w:r>
        <w:rPr>
          <w:rFonts w:hint="eastAsia" w:ascii="仿宋" w:hAnsi="仿宋" w:eastAsia="仿宋" w:cs="仿宋"/>
          <w:color w:val="000000"/>
          <w:sz w:val="28"/>
          <w:szCs w:val="28"/>
          <w:lang w:val="en-US" w:eastAsia="zh-CN"/>
        </w:rPr>
        <w:t>辅警530</w:t>
      </w:r>
      <w:r>
        <w:rPr>
          <w:rFonts w:hint="eastAsia" w:ascii="仿宋" w:hAnsi="仿宋" w:eastAsia="仿宋" w:cs="仿宋"/>
          <w:color w:val="000000"/>
          <w:sz w:val="28"/>
          <w:szCs w:val="28"/>
        </w:rPr>
        <w:t>人。</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2022年度主要工作内容：</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1、借力交通问题顽瘴痼疾整治和事故预防“减量控大”，紧盯“人车路企”四大源头风险隐患。</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2、全面疏堵治乱、综合治理，提升农村交通安全，重要节点安保大维稳。</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3、进一步整合整治办、道安办力量，共享信息，部门警种勤联动。</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4、“放管服”落实落地，设施建设有序推进，持续优化营商环境。</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5、加强宣传密度，扩宽覆盖广度，丰富宣传维度。</w:t>
      </w:r>
    </w:p>
    <w:p>
      <w:pPr>
        <w:numPr>
          <w:ilvl w:val="0"/>
          <w:numId w:val="0"/>
        </w:numPr>
        <w:spacing w:line="240" w:lineRule="auto"/>
        <w:ind w:firstLine="560" w:firstLineChars="200"/>
        <w:rPr>
          <w:rFonts w:eastAsia="黑体"/>
          <w:sz w:val="32"/>
          <w:szCs w:val="32"/>
        </w:rPr>
      </w:pPr>
      <w:r>
        <w:rPr>
          <w:rFonts w:hint="eastAsia" w:ascii="仿宋" w:hAnsi="仿宋" w:eastAsia="仿宋" w:cs="仿宋"/>
          <w:color w:val="000000"/>
          <w:sz w:val="28"/>
          <w:szCs w:val="28"/>
          <w:lang w:val="en-US" w:eastAsia="zh-CN"/>
        </w:rPr>
        <w:t>6、抓牢队伍建设，抓实教育培训，抓紧基层建设，抓严督导问责。</w:t>
      </w:r>
    </w:p>
    <w:p>
      <w:pPr>
        <w:spacing w:line="600" w:lineRule="exact"/>
        <w:ind w:firstLine="640" w:firstLineChars="200"/>
        <w:rPr>
          <w:rFonts w:eastAsia="黑体"/>
          <w:sz w:val="32"/>
          <w:szCs w:val="32"/>
        </w:rPr>
      </w:pPr>
      <w:r>
        <w:rPr>
          <w:rFonts w:eastAsia="黑体"/>
          <w:sz w:val="32"/>
          <w:szCs w:val="32"/>
        </w:rPr>
        <w:t>二、一般公共预算支出情况</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（一）基本支出情况</w:t>
      </w:r>
    </w:p>
    <w:p>
      <w:p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2022年基本支出为18328.38万元，其中人员经费8938.2万元，公用支出为9390.16万元。</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（二）项目支出情况</w:t>
      </w:r>
    </w:p>
    <w:p>
      <w:p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2022年项目支出为5157.8万元，其中2750万元为智能交通建设还款，已支付给城建投；2407.8万元为业务工作经费。</w:t>
      </w:r>
    </w:p>
    <w:p>
      <w:pPr>
        <w:numPr>
          <w:ilvl w:val="0"/>
          <w:numId w:val="0"/>
        </w:numPr>
        <w:spacing w:line="600" w:lineRule="exact"/>
        <w:ind w:leftChars="200"/>
        <w:rPr>
          <w:rFonts w:eastAsia="黑体"/>
          <w:sz w:val="32"/>
          <w:szCs w:val="32"/>
        </w:rPr>
      </w:pPr>
      <w:r>
        <w:rPr>
          <w:rFonts w:hint="eastAsia" w:eastAsia="黑体"/>
          <w:sz w:val="32"/>
          <w:szCs w:val="32"/>
          <w:lang w:val="en-US" w:eastAsia="zh-CN"/>
        </w:rPr>
        <w:t>三、</w:t>
      </w:r>
      <w:r>
        <w:rPr>
          <w:rFonts w:eastAsia="黑体"/>
          <w:sz w:val="32"/>
          <w:szCs w:val="32"/>
        </w:rPr>
        <w:t>政府性基金预算支出情况</w:t>
      </w:r>
    </w:p>
    <w:p>
      <w:pPr>
        <w:numPr>
          <w:ilvl w:val="0"/>
          <w:numId w:val="0"/>
        </w:numPr>
        <w:spacing w:line="600" w:lineRule="exact"/>
        <w:ind w:leftChars="200"/>
        <w:rPr>
          <w:rFonts w:hint="eastAsia" w:eastAsia="黑体"/>
          <w:sz w:val="32"/>
          <w:szCs w:val="32"/>
          <w:lang w:val="en-US" w:eastAsia="zh-CN"/>
        </w:rPr>
      </w:pPr>
      <w:r>
        <w:rPr>
          <w:rFonts w:hint="eastAsia" w:ascii="仿宋" w:hAnsi="仿宋" w:eastAsia="仿宋" w:cs="仿宋"/>
          <w:color w:val="000000"/>
          <w:sz w:val="28"/>
          <w:szCs w:val="28"/>
          <w:lang w:val="en-US" w:eastAsia="zh-CN"/>
        </w:rPr>
        <w:t>无</w:t>
      </w:r>
    </w:p>
    <w:p>
      <w:pPr>
        <w:numPr>
          <w:ilvl w:val="0"/>
          <w:numId w:val="0"/>
        </w:numPr>
        <w:spacing w:line="600" w:lineRule="exact"/>
        <w:ind w:leftChars="200"/>
        <w:rPr>
          <w:rFonts w:eastAsia="黑体"/>
          <w:sz w:val="32"/>
          <w:szCs w:val="32"/>
        </w:rPr>
      </w:pPr>
      <w:r>
        <w:rPr>
          <w:rFonts w:hint="eastAsia" w:eastAsia="黑体"/>
          <w:sz w:val="32"/>
          <w:szCs w:val="32"/>
          <w:lang w:val="en-US" w:eastAsia="zh-CN"/>
        </w:rPr>
        <w:t>四、</w:t>
      </w:r>
      <w:r>
        <w:rPr>
          <w:rFonts w:eastAsia="黑体"/>
          <w:sz w:val="32"/>
          <w:szCs w:val="32"/>
        </w:rPr>
        <w:t>国有资本经营预算支出情况</w:t>
      </w:r>
    </w:p>
    <w:p>
      <w:pPr>
        <w:numPr>
          <w:ilvl w:val="0"/>
          <w:numId w:val="0"/>
        </w:numPr>
        <w:spacing w:line="600" w:lineRule="exact"/>
        <w:ind w:leftChars="200"/>
        <w:rPr>
          <w:rFonts w:hint="eastAsia" w:eastAsia="黑体"/>
          <w:sz w:val="32"/>
          <w:szCs w:val="32"/>
          <w:lang w:val="en-US" w:eastAsia="zh-CN"/>
        </w:rPr>
      </w:pPr>
      <w:r>
        <w:rPr>
          <w:rFonts w:hint="eastAsia" w:ascii="仿宋" w:hAnsi="仿宋" w:eastAsia="仿宋" w:cs="仿宋"/>
          <w:color w:val="000000"/>
          <w:sz w:val="28"/>
          <w:szCs w:val="28"/>
          <w:lang w:val="en-US" w:eastAsia="zh-CN"/>
        </w:rPr>
        <w:t>无</w:t>
      </w:r>
    </w:p>
    <w:p>
      <w:pPr>
        <w:numPr>
          <w:ilvl w:val="0"/>
          <w:numId w:val="0"/>
        </w:numPr>
        <w:spacing w:line="600" w:lineRule="exact"/>
        <w:ind w:leftChars="200"/>
        <w:rPr>
          <w:rFonts w:eastAsia="黑体"/>
          <w:sz w:val="32"/>
          <w:szCs w:val="32"/>
        </w:rPr>
      </w:pPr>
      <w:r>
        <w:rPr>
          <w:rFonts w:hint="eastAsia" w:eastAsia="黑体"/>
          <w:sz w:val="32"/>
          <w:szCs w:val="32"/>
          <w:lang w:val="en-US" w:eastAsia="zh-CN"/>
        </w:rPr>
        <w:t>五、</w:t>
      </w:r>
      <w:r>
        <w:rPr>
          <w:rFonts w:eastAsia="黑体"/>
          <w:sz w:val="32"/>
          <w:szCs w:val="32"/>
        </w:rPr>
        <w:t>社会保险基金预算支出情况</w:t>
      </w:r>
    </w:p>
    <w:p>
      <w:pPr>
        <w:numPr>
          <w:ilvl w:val="0"/>
          <w:numId w:val="0"/>
        </w:numPr>
        <w:spacing w:line="600" w:lineRule="exact"/>
        <w:ind w:left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numPr>
          <w:ilvl w:val="0"/>
          <w:numId w:val="9"/>
        </w:num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铁腕整治风险隐患。联合检查运输企业220余家，排查整改源头性安全隐患102处，重型挂车、危化品车违法处理率达100%。整改治理临水临崖、急弯陡坡、“五小工程”、穿村过镇等风险路段，47处部省级督办的重点路口路段全部整改完毕，107国道岳阳段纳入省级示范公路创建。全市重点运输企业备案率100%。</w:t>
      </w:r>
    </w:p>
    <w:p>
      <w:pPr>
        <w:numPr>
          <w:ilvl w:val="0"/>
          <w:numId w:val="9"/>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精准发力秩序管控。全面疏堵治乱、综合治理，智能交通系统二期建设已向市政府报告，正有序推进。全市农村手机APP安装率以及劝导员、村辅警劝导率达100%以上。</w:t>
      </w:r>
    </w:p>
    <w:p>
      <w:pPr>
        <w:numPr>
          <w:ilvl w:val="0"/>
          <w:numId w:val="9"/>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高频高效部门联动。进一步整合整治办、道安办力量，通过“两个平台”“六个专班”，完善联动共管模式，加强精准指导，凝聚强大合力。对涉及多部门执法监管领域的“人、车、路、企”问题隐患，精准把脉、联合攻坚，确保“线上+线下”双监督、“路面+源头”双管控，提升跨部门协作效率。</w:t>
      </w:r>
    </w:p>
    <w:p>
      <w:pPr>
        <w:numPr>
          <w:ilvl w:val="0"/>
          <w:numId w:val="9"/>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聚力聚焦民生重点。一是“放管服”落实落地，受理小型汽车异地考试业务，“一证通考”业务。“交管12123”、湖南公安服务平台等“掌中办”全市覆盖，建成应用“道安监管云”一期，可归集各类交通管理数据。二是设施建设有序推进。今年以来，结合人大、政协代表的意见和建议，调整洞庭大道、德胜南路、金凤桥路、东城小学等路段标志标线，优化岳阳大道、巴陵大道、建湘路等路口信号灯，市人大常委会高票审议通过全市道路交通安全管理意见整改落实情况。三是警保警医合作高效，2022年全市主城区线上业务量占总量的81.07%，连续3年居全省先进行列。借力道路交通救助基金，积极开展警医联动。</w:t>
      </w:r>
    </w:p>
    <w:p>
      <w:pPr>
        <w:numPr>
          <w:ilvl w:val="0"/>
          <w:numId w:val="9"/>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多维立体创新宣教。“五大曝光行动”全媒体覆盖，建立村口固定式警示牌，通过农村“大喇叭”、微信群推送警示提示类信息，全方位丰富宣传维度。</w:t>
      </w:r>
    </w:p>
    <w:p>
      <w:pPr>
        <w:numPr>
          <w:ilvl w:val="0"/>
          <w:numId w:val="9"/>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党建引领严管队伍。抓牢队伍建设，抓实教育培训。组织全体民警观看警示教育片，支队党委理论学习中心组开展集中学习，党委书记讲授专题党课。开展实战大练兵，严格警辅人员管理，贯彻落实《湖南省警务辅助人员条例》。</w:t>
      </w:r>
    </w:p>
    <w:p>
      <w:pPr>
        <w:numPr>
          <w:ilvl w:val="0"/>
          <w:numId w:val="10"/>
        </w:numPr>
        <w:spacing w:line="600" w:lineRule="exact"/>
        <w:ind w:firstLine="640" w:firstLineChars="200"/>
        <w:rPr>
          <w:rFonts w:eastAsia="黑体"/>
          <w:sz w:val="32"/>
          <w:szCs w:val="32"/>
        </w:rPr>
      </w:pPr>
      <w:r>
        <w:rPr>
          <w:rFonts w:eastAsia="黑体"/>
          <w:sz w:val="32"/>
          <w:szCs w:val="32"/>
        </w:rPr>
        <w:t>存在的问题及原因分析</w:t>
      </w:r>
    </w:p>
    <w:p>
      <w:pPr>
        <w:numPr>
          <w:ilvl w:val="0"/>
          <w:numId w:val="0"/>
        </w:numPr>
        <w:spacing w:line="600" w:lineRule="exact"/>
        <w:rPr>
          <w:rFonts w:hint="default" w:ascii="仿宋_GB2312" w:eastAsia="仿宋_GB2312" w:cs="仿宋_GB2312"/>
          <w:bCs/>
          <w:sz w:val="32"/>
          <w:szCs w:val="32"/>
          <w:lang w:val="en-US" w:eastAsia="zh-CN"/>
        </w:rPr>
      </w:pPr>
      <w:r>
        <w:rPr>
          <w:rFonts w:hint="eastAsia" w:eastAsia="黑体"/>
          <w:sz w:val="32"/>
          <w:szCs w:val="32"/>
          <w:lang w:val="en-US" w:eastAsia="zh-CN"/>
        </w:rPr>
        <w:t xml:space="preserve">    </w:t>
      </w:r>
      <w:r>
        <w:rPr>
          <w:rFonts w:hint="eastAsia" w:ascii="仿宋_GB2312" w:eastAsia="仿宋_GB2312" w:cs="仿宋_GB2312"/>
          <w:bCs/>
          <w:sz w:val="32"/>
          <w:szCs w:val="32"/>
          <w:lang w:val="en-US" w:eastAsia="zh-CN"/>
        </w:rPr>
        <w:t>预算管理工作需完善、绩效理念需加强，绩效激励约束作用有待提高。</w:t>
      </w:r>
    </w:p>
    <w:p>
      <w:pPr>
        <w:numPr>
          <w:ilvl w:val="0"/>
          <w:numId w:val="11"/>
        </w:numPr>
        <w:spacing w:line="480" w:lineRule="auto"/>
        <w:ind w:firstLine="640" w:firstLineChars="200"/>
        <w:rPr>
          <w:rFonts w:eastAsia="黑体"/>
          <w:sz w:val="32"/>
          <w:szCs w:val="32"/>
        </w:rPr>
      </w:pPr>
      <w:r>
        <w:rPr>
          <w:rFonts w:eastAsia="黑体"/>
          <w:sz w:val="32"/>
          <w:szCs w:val="32"/>
        </w:rPr>
        <w:t>下一步改进措施</w:t>
      </w:r>
    </w:p>
    <w:p>
      <w:pPr>
        <w:numPr>
          <w:ilvl w:val="0"/>
          <w:numId w:val="0"/>
        </w:numPr>
        <w:spacing w:line="480" w:lineRule="auto"/>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支队在今后的工作中</w:t>
      </w:r>
      <w:r>
        <w:rPr>
          <w:rFonts w:hint="eastAsia" w:ascii="仿宋_GB2312" w:eastAsia="仿宋_GB2312" w:cs="仿宋_GB2312"/>
          <w:bCs/>
          <w:sz w:val="32"/>
          <w:szCs w:val="32"/>
          <w:lang w:val="en-US" w:eastAsia="zh-CN"/>
        </w:rPr>
        <w:t>加强预算编制工作，认真做好预算的编制，提升财务人员工作能力，加强学习，做到</w:t>
      </w:r>
      <w:r>
        <w:rPr>
          <w:rFonts w:hint="eastAsia" w:ascii="仿宋_GB2312" w:eastAsia="仿宋_GB2312" w:cs="仿宋_GB2312"/>
          <w:bCs/>
          <w:sz w:val="32"/>
          <w:szCs w:val="32"/>
        </w:rPr>
        <w:t>进一步合理安排资金支付，提高预算执行率</w:t>
      </w:r>
      <w:r>
        <w:rPr>
          <w:rFonts w:hint="eastAsia" w:ascii="仿宋_GB2312" w:eastAsia="仿宋_GB2312" w:cs="仿宋_GB2312"/>
          <w:bCs/>
          <w:sz w:val="32"/>
          <w:szCs w:val="32"/>
          <w:lang w:eastAsia="zh-CN"/>
        </w:rPr>
        <w:t>。</w:t>
      </w:r>
      <w:r>
        <w:rPr>
          <w:rFonts w:hint="eastAsia" w:ascii="仿宋_GB2312" w:eastAsia="仿宋_GB2312" w:cs="仿宋_GB2312"/>
          <w:bCs/>
          <w:sz w:val="32"/>
          <w:szCs w:val="32"/>
          <w:lang w:val="en-US" w:eastAsia="zh-CN"/>
        </w:rPr>
        <w:t>加强财务管理，严格按照预算规定的用途进行资金使用审核，确保资金使用合法合规、安全高效。</w:t>
      </w:r>
      <w:r>
        <w:rPr>
          <w:rFonts w:hint="eastAsia" w:ascii="仿宋_GB2312" w:eastAsia="仿宋_GB2312" w:cs="仿宋_GB2312"/>
          <w:bCs/>
          <w:sz w:val="32"/>
          <w:szCs w:val="32"/>
        </w:rPr>
        <w:t>结合实际完善内部控制体系建设，强化对资金绩效实现情况的责任约束，提高项目财务管理制度的完备性，加强财政资金使用效益跟踪“回头看”，及时预控、查找资金使用和管理过程中的薄弱环节，提出纠偏措施，确保后续绩效目标的有效实现提供有力支撑。</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十、其他需要说明的情况</w:t>
      </w:r>
    </w:p>
    <w:p>
      <w:pPr>
        <w:rPr>
          <w:rFonts w:hint="default" w:eastAsia="宋体"/>
          <w:lang w:val="en-US" w:eastAsia="zh-CN"/>
        </w:rPr>
      </w:pPr>
      <w:r>
        <w:rPr>
          <w:rFonts w:hint="eastAsia"/>
          <w:lang w:val="en-US" w:eastAsia="zh-CN"/>
        </w:rPr>
        <w:t xml:space="preserve">     </w:t>
      </w:r>
      <w:r>
        <w:rPr>
          <w:rFonts w:hint="eastAsia" w:ascii="仿宋" w:hAnsi="仿宋" w:eastAsia="仿宋" w:cs="仿宋"/>
          <w:color w:val="000000"/>
          <w:sz w:val="28"/>
          <w:szCs w:val="28"/>
          <w:lang w:val="en-US" w:eastAsia="zh-CN"/>
        </w:rPr>
        <w:t>无</w:t>
      </w:r>
    </w:p>
    <w:tbl>
      <w:tblPr>
        <w:tblStyle w:val="2"/>
        <w:tblW w:w="994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6"/>
        <w:gridCol w:w="656"/>
        <w:gridCol w:w="1316"/>
        <w:gridCol w:w="1206"/>
        <w:gridCol w:w="1316"/>
        <w:gridCol w:w="1426"/>
        <w:gridCol w:w="531"/>
        <w:gridCol w:w="1976"/>
        <w:gridCol w:w="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949"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2"/>
                <w:szCs w:val="42"/>
                <w:u w:val="none"/>
              </w:rPr>
            </w:pPr>
            <w:r>
              <w:rPr>
                <w:rFonts w:hint="default" w:ascii="方正小标宋简体" w:hAnsi="方正小标宋简体" w:eastAsia="方正小标宋简体" w:cs="方正小标宋简体"/>
                <w:i w:val="0"/>
                <w:iCs w:val="0"/>
                <w:color w:val="000000"/>
                <w:kern w:val="0"/>
                <w:sz w:val="42"/>
                <w:szCs w:val="42"/>
                <w:u w:val="none"/>
                <w:lang w:val="en-US" w:eastAsia="zh-CN" w:bidi="ar"/>
              </w:rPr>
              <w:t>2022年度项目支出绩效自评表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项目支出名称</w:t>
            </w:r>
          </w:p>
        </w:tc>
        <w:tc>
          <w:tcPr>
            <w:tcW w:w="8853" w:type="dxa"/>
            <w:gridSpan w:val="8"/>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智能交通建设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853" w:type="dxa"/>
            <w:gridSpan w:val="8"/>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4494"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岳阳市公安局交通警察支队</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2933"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岳阳市城市建设投资有限公司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197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年初预算数</w:t>
            </w:r>
          </w:p>
        </w:tc>
        <w:tc>
          <w:tcPr>
            <w:tcW w:w="13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全年预算数</w:t>
            </w:r>
          </w:p>
        </w:tc>
        <w:tc>
          <w:tcPr>
            <w:tcW w:w="14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全年执行数</w:t>
            </w:r>
          </w:p>
        </w:tc>
        <w:tc>
          <w:tcPr>
            <w:tcW w:w="5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9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2750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449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35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49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w:t>
            </w:r>
            <w:r>
              <w:rPr>
                <w:rFonts w:hint="eastAsia" w:ascii="仿宋_GB2312" w:hAnsi="宋体" w:eastAsia="仿宋_GB2312" w:cs="仿宋_GB2312"/>
                <w:i w:val="0"/>
                <w:iCs w:val="0"/>
                <w:color w:val="000000"/>
                <w:kern w:val="0"/>
                <w:sz w:val="21"/>
                <w:szCs w:val="21"/>
                <w:u w:val="none"/>
                <w:lang w:val="en-US" w:eastAsia="zh-CN" w:bidi="ar"/>
              </w:rPr>
              <w:t>该项目解决城区交通秩序问题，确保扁平化指挥调度常态运行，缓解主城区早晚高峰拥堵，及时应对突发情况，推荐交通事故快处快赔，</w:t>
            </w:r>
            <w:r>
              <w:rPr>
                <w:rFonts w:hint="default" w:ascii="仿宋_GB2312" w:hAnsi="宋体" w:eastAsia="仿宋_GB2312" w:cs="仿宋_GB2312"/>
                <w:i w:val="0"/>
                <w:iCs w:val="0"/>
                <w:color w:val="000000"/>
                <w:kern w:val="0"/>
                <w:sz w:val="21"/>
                <w:szCs w:val="21"/>
                <w:u w:val="none"/>
                <w:lang w:val="en-US" w:eastAsia="zh-CN" w:bidi="ar"/>
              </w:rPr>
              <w:t>强化改革创新、科技支撑，全面提升道路交通管理服务水平</w:t>
            </w:r>
            <w:r>
              <w:rPr>
                <w:rFonts w:hint="eastAsia" w:ascii="仿宋_GB2312" w:hAnsi="宋体" w:eastAsia="仿宋_GB2312" w:cs="仿宋_GB2312"/>
                <w:i w:val="0"/>
                <w:iCs w:val="0"/>
                <w:color w:val="000000"/>
                <w:kern w:val="0"/>
                <w:sz w:val="21"/>
                <w:szCs w:val="21"/>
                <w:u w:val="none"/>
                <w:lang w:val="en-US" w:eastAsia="zh-CN" w:bidi="ar"/>
              </w:rPr>
              <w:t>。</w:t>
            </w:r>
          </w:p>
        </w:tc>
        <w:tc>
          <w:tcPr>
            <w:tcW w:w="435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按年度目标偿还智能交通建设款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13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2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13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年度指标值</w:t>
            </w:r>
          </w:p>
        </w:tc>
        <w:tc>
          <w:tcPr>
            <w:tcW w:w="14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实际完成值</w:t>
            </w:r>
          </w:p>
        </w:tc>
        <w:tc>
          <w:tcPr>
            <w:tcW w:w="5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9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产出指标（50分）</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改善城区治堵保畅，纠正和查处各类违章情况</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实际发生情况</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有所改善</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智能交通系统建设有序推进</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rPr>
            </w:pPr>
            <w:r>
              <w:rPr>
                <w:rFonts w:hint="default" w:ascii="仿宋_GB2312" w:hAnsi="宋体" w:eastAsia="仿宋_GB2312" w:cs="仿宋_GB2312"/>
                <w:i w:val="0"/>
                <w:iCs w:val="0"/>
                <w:color w:val="000000"/>
                <w:kern w:val="0"/>
                <w:sz w:val="21"/>
                <w:szCs w:val="21"/>
                <w:u w:val="none"/>
                <w:lang w:val="en-US" w:eastAsia="zh-CN" w:bidi="ar"/>
              </w:rPr>
              <w:t>提高道路交通安全管理</w:t>
            </w:r>
            <w:r>
              <w:rPr>
                <w:rFonts w:hint="eastAsia" w:ascii="仿宋_GB2312" w:hAnsi="宋体" w:eastAsia="仿宋_GB2312" w:cs="仿宋_GB2312"/>
                <w:i w:val="0"/>
                <w:iCs w:val="0"/>
                <w:color w:val="000000"/>
                <w:kern w:val="0"/>
                <w:sz w:val="21"/>
                <w:szCs w:val="21"/>
                <w:u w:val="none"/>
                <w:lang w:val="en-US" w:eastAsia="zh-CN" w:bidi="ar"/>
              </w:rPr>
              <w:t>水平</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rPr>
            </w:pPr>
            <w:r>
              <w:rPr>
                <w:rFonts w:hint="default" w:ascii="仿宋_GB2312" w:hAnsi="宋体" w:eastAsia="仿宋_GB2312" w:cs="仿宋_GB2312"/>
                <w:i w:val="0"/>
                <w:iCs w:val="0"/>
                <w:color w:val="000000"/>
                <w:kern w:val="0"/>
                <w:sz w:val="21"/>
                <w:szCs w:val="21"/>
                <w:u w:val="none"/>
                <w:lang w:val="en-US" w:eastAsia="zh-CN" w:bidi="ar"/>
              </w:rPr>
              <w:t>提高</w:t>
            </w:r>
            <w:r>
              <w:rPr>
                <w:rFonts w:hint="eastAsia" w:ascii="仿宋_GB2312" w:hAnsi="宋体" w:eastAsia="仿宋_GB2312" w:cs="仿宋_GB2312"/>
                <w:i w:val="0"/>
                <w:iCs w:val="0"/>
                <w:color w:val="000000"/>
                <w:kern w:val="0"/>
                <w:sz w:val="21"/>
                <w:szCs w:val="21"/>
                <w:u w:val="none"/>
                <w:lang w:val="en-US" w:eastAsia="zh-CN" w:bidi="ar"/>
              </w:rPr>
              <w:t>了</w:t>
            </w:r>
            <w:r>
              <w:rPr>
                <w:rFonts w:hint="default" w:ascii="仿宋_GB2312" w:hAnsi="宋体" w:eastAsia="仿宋_GB2312" w:cs="仿宋_GB2312"/>
                <w:i w:val="0"/>
                <w:iCs w:val="0"/>
                <w:color w:val="000000"/>
                <w:kern w:val="0"/>
                <w:sz w:val="21"/>
                <w:szCs w:val="21"/>
                <w:u w:val="none"/>
                <w:lang w:val="en-US" w:eastAsia="zh-CN" w:bidi="ar"/>
              </w:rPr>
              <w:t>道路交通管理</w:t>
            </w:r>
            <w:r>
              <w:rPr>
                <w:rFonts w:hint="eastAsia" w:ascii="仿宋_GB2312" w:hAnsi="宋体" w:eastAsia="仿宋_GB2312" w:cs="仿宋_GB2312"/>
                <w:i w:val="0"/>
                <w:iCs w:val="0"/>
                <w:color w:val="000000"/>
                <w:kern w:val="0"/>
                <w:sz w:val="21"/>
                <w:szCs w:val="21"/>
                <w:u w:val="none"/>
                <w:lang w:val="en-US" w:eastAsia="zh-CN" w:bidi="ar"/>
              </w:rPr>
              <w:t>水平</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预算内资金</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效益指标（30分）</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间接促进经济发展</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缓解城区交通拥堵，及时应对突发情况</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1.保障道路交通通畅；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2.提升道路交通安全水平。</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可持续影响指标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满意度指标（10分）</w:t>
            </w:r>
          </w:p>
        </w:tc>
        <w:tc>
          <w:tcPr>
            <w:tcW w:w="13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2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社会公众满意度</w:t>
            </w:r>
          </w:p>
        </w:tc>
        <w:tc>
          <w:tcPr>
            <w:tcW w:w="13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14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53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13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016"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bl>
    <w:p>
      <w:pPr>
        <w:ind w:firstLine="640" w:firstLineChars="200"/>
        <w:jc w:val="left"/>
        <w:rPr>
          <w:rFonts w:hint="eastAsia" w:ascii="宋体" w:hAnsi="宋体" w:cs="黑体"/>
          <w:b/>
          <w:color w:val="000000"/>
          <w:kern w:val="0"/>
          <w:sz w:val="32"/>
          <w:szCs w:val="32"/>
        </w:rPr>
      </w:pPr>
    </w:p>
    <w:tbl>
      <w:tblPr>
        <w:tblStyle w:val="2"/>
        <w:tblW w:w="103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0"/>
        <w:gridCol w:w="106"/>
        <w:gridCol w:w="656"/>
        <w:gridCol w:w="228"/>
        <w:gridCol w:w="1088"/>
        <w:gridCol w:w="72"/>
        <w:gridCol w:w="220"/>
        <w:gridCol w:w="914"/>
        <w:gridCol w:w="246"/>
        <w:gridCol w:w="210"/>
        <w:gridCol w:w="780"/>
        <w:gridCol w:w="80"/>
        <w:gridCol w:w="370"/>
        <w:gridCol w:w="1056"/>
        <w:gridCol w:w="144"/>
        <w:gridCol w:w="240"/>
        <w:gridCol w:w="147"/>
        <w:gridCol w:w="603"/>
        <w:gridCol w:w="240"/>
        <w:gridCol w:w="750"/>
        <w:gridCol w:w="240"/>
        <w:gridCol w:w="143"/>
        <w:gridCol w:w="8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项目支出名称</w:t>
            </w:r>
          </w:p>
        </w:tc>
        <w:tc>
          <w:tcPr>
            <w:tcW w:w="9274" w:type="dxa"/>
            <w:gridSpan w:val="21"/>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中央政法转移支付办案费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274" w:type="dxa"/>
            <w:gridSpan w:val="21"/>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0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4494" w:type="dxa"/>
            <w:gridSpan w:val="10"/>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岳阳市公安局</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3354" w:type="dxa"/>
            <w:gridSpan w:val="9"/>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岳阳市公安局交通警察支队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197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年初预算数</w:t>
            </w:r>
          </w:p>
        </w:tc>
        <w:tc>
          <w:tcPr>
            <w:tcW w:w="1316"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全年预算数</w:t>
            </w:r>
          </w:p>
        </w:tc>
        <w:tc>
          <w:tcPr>
            <w:tcW w:w="14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全年执行数</w:t>
            </w:r>
          </w:p>
        </w:tc>
        <w:tc>
          <w:tcPr>
            <w:tcW w:w="531"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976"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8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607.52</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10</w:t>
            </w: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0</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4494"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78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494"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人民群众满意度提升，保障道路交通畅通</w:t>
            </w:r>
          </w:p>
        </w:tc>
        <w:tc>
          <w:tcPr>
            <w:tcW w:w="4780"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执法质量稳步提升，办案效率明显加强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131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20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1316"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年度指标值</w:t>
            </w:r>
          </w:p>
        </w:tc>
        <w:tc>
          <w:tcPr>
            <w:tcW w:w="14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实际完成值</w:t>
            </w:r>
          </w:p>
        </w:tc>
        <w:tc>
          <w:tcPr>
            <w:tcW w:w="531"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976"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8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53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976"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产出指标（50分）</w:t>
            </w: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6"/>
                <w:lang w:val="en-US" w:eastAsia="zh-CN" w:bidi="ar"/>
              </w:rPr>
              <w:t>根据市内交通状况制定</w:t>
            </w:r>
            <w:r>
              <w:rPr>
                <w:rStyle w:val="7"/>
                <w:rFonts w:eastAsia="宋体"/>
                <w:lang w:val="en-US" w:eastAsia="zh-CN" w:bidi="ar"/>
              </w:rPr>
              <w:t>2022</w:t>
            </w:r>
            <w:r>
              <w:rPr>
                <w:rStyle w:val="6"/>
                <w:lang w:val="en-US" w:eastAsia="zh-CN" w:bidi="ar"/>
              </w:rPr>
              <w:t>年工作规划</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降低道路交通事故、打击违法犯罪、保障秩序畅通。</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降低道路交通事故、打击违法犯罪、保障秩序畅通</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推进隐患清零、预防、控制、打击涉车、涉路的违法犯罪</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有所下降</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有所下降</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预算内资金</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效益指标（30分）</w:t>
            </w: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促进经济发展</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降事故、保平安、保畅通</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生态环境改善情况</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可持续影响指标</w:t>
            </w:r>
          </w:p>
        </w:tc>
        <w:tc>
          <w:tcPr>
            <w:tcW w:w="12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道路交通安全形势稳中向好</w:t>
            </w:r>
          </w:p>
        </w:tc>
        <w:tc>
          <w:tcPr>
            <w:tcW w:w="1316"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满意度指标（10分）</w:t>
            </w:r>
          </w:p>
        </w:tc>
        <w:tc>
          <w:tcPr>
            <w:tcW w:w="131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20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社会公众满意度</w:t>
            </w:r>
          </w:p>
        </w:tc>
        <w:tc>
          <w:tcPr>
            <w:tcW w:w="1316"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14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531"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656"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1316"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4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53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976"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8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016" w:type="dxa"/>
            <w:gridSpan w:val="1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53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97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6" w:type="dxa"/>
            <w:gridSpan w:val="2"/>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656" w:type="dxa"/>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16" w:type="dxa"/>
            <w:gridSpan w:val="2"/>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206" w:type="dxa"/>
            <w:gridSpan w:val="3"/>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16" w:type="dxa"/>
            <w:gridSpan w:val="4"/>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426" w:type="dxa"/>
            <w:gridSpan w:val="2"/>
            <w:tcBorders>
              <w:top w:val="nil"/>
              <w:left w:val="nil"/>
              <w:bottom w:val="nil"/>
              <w:right w:val="nil"/>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531" w:type="dxa"/>
            <w:gridSpan w:val="3"/>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976" w:type="dxa"/>
            <w:gridSpan w:val="5"/>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847"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项目支出名称</w:t>
            </w:r>
          </w:p>
        </w:tc>
        <w:tc>
          <w:tcPr>
            <w:tcW w:w="9380" w:type="dxa"/>
            <w:gridSpan w:val="2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科目三考试成本性经费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380" w:type="dxa"/>
            <w:gridSpan w:val="2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4520" w:type="dxa"/>
            <w:gridSpan w:val="10"/>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岳阳市公安局</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2970" w:type="dxa"/>
            <w:gridSpan w:val="7"/>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岳阳市公安交通警察支队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2150"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8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年初预算数</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全年预算数</w:t>
            </w:r>
          </w:p>
        </w:tc>
        <w:tc>
          <w:tcPr>
            <w:tcW w:w="1890"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全年执行数</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150"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890"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15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15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 xml:space="preserve">0   他                                                                                                                                                                                                                                                                                                                                                                       </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1755.47</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1755.47</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15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15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4520"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86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520"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规范驾驶人的日常管理　</w:t>
            </w:r>
          </w:p>
        </w:tc>
        <w:tc>
          <w:tcPr>
            <w:tcW w:w="486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规范驾驶人的日常管理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11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38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年度指标值</w:t>
            </w:r>
          </w:p>
        </w:tc>
        <w:tc>
          <w:tcPr>
            <w:tcW w:w="1890"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实际完成值</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890"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890"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产出指标（50分）</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受理的考试业务</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实际受理业务量</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小型汽车异地考试业务6万多起，“一证通考”业务12554起。政务中心受理完成业务45万余笔。</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规范驾驶人</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实际管理情况</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交管12123、湖南公安服务平台等“掌中办”全市覆盖，建成应用“道安监管云”一期。</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预算内资金</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效益指标（30分）</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促进经济发展</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简化业务办理流程，深化互联网服务，不断创新工作方式方法</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更便民的服务群众</w:t>
            </w: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更便民的服务群众</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可持续影响指标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满意度指标（10分）</w:t>
            </w:r>
          </w:p>
        </w:tc>
        <w:tc>
          <w:tcPr>
            <w:tcW w:w="11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38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社会公众满意度</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1890"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1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90"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400"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370" w:type="dxa"/>
            <w:gridSpan w:val="23"/>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项目支出名称</w:t>
            </w:r>
          </w:p>
        </w:tc>
        <w:tc>
          <w:tcPr>
            <w:tcW w:w="9380" w:type="dxa"/>
            <w:gridSpan w:val="2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市交通问题顽瘴痼疾集中整治行动领导小组办公室工作经费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380" w:type="dxa"/>
            <w:gridSpan w:val="2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4970" w:type="dxa"/>
            <w:gridSpan w:val="1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岳阳市公安局交通警察支队</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3210" w:type="dxa"/>
            <w:gridSpan w:val="8"/>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default" w:ascii="仿宋_GB2312" w:hAnsi="宋体" w:eastAsia="仿宋_GB2312" w:cs="仿宋_GB2312"/>
                <w:i w:val="0"/>
                <w:iCs w:val="0"/>
                <w:color w:val="000000"/>
                <w:kern w:val="0"/>
                <w:sz w:val="21"/>
                <w:szCs w:val="21"/>
                <w:u w:val="none"/>
                <w:lang w:val="en-US" w:eastAsia="zh-CN" w:bidi="ar"/>
              </w:rPr>
              <w:t>市交通问题顽瘴痼疾集中整治行动领导小组办公室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2370"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7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年初预算数</w:t>
            </w: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全年预算数</w:t>
            </w:r>
          </w:p>
        </w:tc>
        <w:tc>
          <w:tcPr>
            <w:tcW w:w="12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全年执行数</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370"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7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3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44.87</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44.87</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3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44.87</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44.87</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3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3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497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410"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497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充分发挥市整治办统筹指导、调度推进、考核督导作用，压实各方责任，督促推动顽瘴痼疾系统整治三年行动（2023-2025年）落地见效。</w:t>
            </w:r>
          </w:p>
        </w:tc>
        <w:tc>
          <w:tcPr>
            <w:tcW w:w="4410"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市整治办工作有效运转，属地、部门、企业“三大责任”得到有效压实，严格按照省、市部署要求，有序推进本年度“查隐患、治顽疾、降事故”工作。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138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37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年度指标值</w:t>
            </w:r>
          </w:p>
        </w:tc>
        <w:tc>
          <w:tcPr>
            <w:tcW w:w="12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实际完成值</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7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7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产出指标（50分）</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制定本年度行动方案及工作要点、任务清单</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全面排查整治“人、车、路、企、政”等方面存在的问题隐患，确保道路交通安全形势稳定向好</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排查隐患实现清零，源头企业有效规范，交通事故明显下降</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根据隐患排查、执法监管等情况，实行挂图作战、对账销号</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各类问题隐患清零、道路交通安全形势稳定向好</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相关问题隐患实现清零，交通事故明显下降</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在年内完成</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预算内资金</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在预算资金内完成目标</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效益指标（30分）</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促进经济发展</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治顽疾、降事故、保安全</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有所提升</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生态环境改善情况</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有所改善</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可持续影响指标</w:t>
            </w:r>
          </w:p>
        </w:tc>
        <w:tc>
          <w:tcPr>
            <w:tcW w:w="137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道路交通安全形势稳定向好</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满意度指标（10分）</w:t>
            </w:r>
          </w:p>
        </w:tc>
        <w:tc>
          <w:tcPr>
            <w:tcW w:w="138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37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社会公众满意度</w:t>
            </w: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20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9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8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37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0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160"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99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100</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100</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370" w:type="dxa"/>
            <w:gridSpan w:val="23"/>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bl>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00"/>
    <w:family w:val="auto"/>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D643A"/>
    <w:multiLevelType w:val="singleLevel"/>
    <w:tmpl w:val="C33D643A"/>
    <w:lvl w:ilvl="0" w:tentative="0">
      <w:start w:val="1"/>
      <w:numFmt w:val="decimal"/>
      <w:suff w:val="nothing"/>
      <w:lvlText w:val="%1、"/>
      <w:lvlJc w:val="left"/>
    </w:lvl>
  </w:abstractNum>
  <w:abstractNum w:abstractNumId="1">
    <w:nsid w:val="D352A34B"/>
    <w:multiLevelType w:val="singleLevel"/>
    <w:tmpl w:val="D352A34B"/>
    <w:lvl w:ilvl="0" w:tentative="0">
      <w:start w:val="2"/>
      <w:numFmt w:val="chineseCounting"/>
      <w:suff w:val="nothing"/>
      <w:lvlText w:val="（%1）"/>
      <w:lvlJc w:val="left"/>
      <w:rPr>
        <w:rFonts w:hint="eastAsia"/>
      </w:rPr>
    </w:lvl>
  </w:abstractNum>
  <w:abstractNum w:abstractNumId="2">
    <w:nsid w:val="D358F235"/>
    <w:multiLevelType w:val="singleLevel"/>
    <w:tmpl w:val="D358F235"/>
    <w:lvl w:ilvl="0" w:tentative="0">
      <w:start w:val="1"/>
      <w:numFmt w:val="chineseCounting"/>
      <w:suff w:val="nothing"/>
      <w:lvlText w:val="%1、"/>
      <w:lvlJc w:val="left"/>
      <w:rPr>
        <w:rFonts w:hint="eastAsia"/>
      </w:rPr>
    </w:lvl>
  </w:abstractNum>
  <w:abstractNum w:abstractNumId="3">
    <w:nsid w:val="E8707B7F"/>
    <w:multiLevelType w:val="singleLevel"/>
    <w:tmpl w:val="E8707B7F"/>
    <w:lvl w:ilvl="0" w:tentative="0">
      <w:start w:val="3"/>
      <w:numFmt w:val="decimal"/>
      <w:suff w:val="nothing"/>
      <w:lvlText w:val="%1、"/>
      <w:lvlJc w:val="left"/>
    </w:lvl>
  </w:abstractNum>
  <w:abstractNum w:abstractNumId="4">
    <w:nsid w:val="06AAE6B9"/>
    <w:multiLevelType w:val="singleLevel"/>
    <w:tmpl w:val="06AAE6B9"/>
    <w:lvl w:ilvl="0" w:tentative="0">
      <w:start w:val="8"/>
      <w:numFmt w:val="chineseCounting"/>
      <w:suff w:val="nothing"/>
      <w:lvlText w:val="%1、"/>
      <w:lvlJc w:val="left"/>
      <w:rPr>
        <w:rFonts w:hint="eastAsia"/>
      </w:rPr>
    </w:lvl>
  </w:abstractNum>
  <w:abstractNum w:abstractNumId="5">
    <w:nsid w:val="08994DDF"/>
    <w:multiLevelType w:val="singleLevel"/>
    <w:tmpl w:val="08994DDF"/>
    <w:lvl w:ilvl="0" w:tentative="0">
      <w:start w:val="2"/>
      <w:numFmt w:val="chineseCounting"/>
      <w:suff w:val="nothing"/>
      <w:lvlText w:val="（%1）"/>
      <w:lvlJc w:val="left"/>
      <w:rPr>
        <w:rFonts w:hint="eastAsia"/>
      </w:rPr>
    </w:lvl>
  </w:abstractNum>
  <w:abstractNum w:abstractNumId="6">
    <w:nsid w:val="26D921D2"/>
    <w:multiLevelType w:val="singleLevel"/>
    <w:tmpl w:val="26D921D2"/>
    <w:lvl w:ilvl="0" w:tentative="0">
      <w:start w:val="7"/>
      <w:numFmt w:val="chineseCounting"/>
      <w:suff w:val="nothing"/>
      <w:lvlText w:val="%1、"/>
      <w:lvlJc w:val="left"/>
      <w:rPr>
        <w:rFonts w:hint="eastAsia"/>
      </w:rPr>
    </w:lvl>
  </w:abstractNum>
  <w:abstractNum w:abstractNumId="7">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672C45D"/>
    <w:multiLevelType w:val="singleLevel"/>
    <w:tmpl w:val="5672C45D"/>
    <w:lvl w:ilvl="0" w:tentative="0">
      <w:start w:val="1"/>
      <w:numFmt w:val="chineseCounting"/>
      <w:suff w:val="nothing"/>
      <w:lvlText w:val="%1、"/>
      <w:lvlJc w:val="left"/>
      <w:rPr>
        <w:rFonts w:hint="eastAsia"/>
      </w:rPr>
    </w:lvl>
  </w:abstractNum>
  <w:abstractNum w:abstractNumId="9">
    <w:nsid w:val="5A84AB53"/>
    <w:multiLevelType w:val="singleLevel"/>
    <w:tmpl w:val="5A84AB53"/>
    <w:lvl w:ilvl="0" w:tentative="0">
      <w:start w:val="11"/>
      <w:numFmt w:val="chineseCounting"/>
      <w:suff w:val="nothing"/>
      <w:lvlText w:val="%1、"/>
      <w:lvlJc w:val="left"/>
      <w:rPr>
        <w:rFonts w:hint="eastAsia"/>
      </w:rPr>
    </w:lvl>
  </w:abstractNum>
  <w:abstractNum w:abstractNumId="10">
    <w:nsid w:val="6B1C5922"/>
    <w:multiLevelType w:val="singleLevel"/>
    <w:tmpl w:val="6B1C5922"/>
    <w:lvl w:ilvl="0" w:tentative="0">
      <w:start w:val="7"/>
      <w:numFmt w:val="chineseCounting"/>
      <w:suff w:val="nothing"/>
      <w:lvlText w:val="%1、"/>
      <w:lvlJc w:val="left"/>
      <w:rPr>
        <w:rFonts w:hint="eastAsia"/>
      </w:rPr>
    </w:lvl>
  </w:abstractNum>
  <w:num w:numId="1">
    <w:abstractNumId w:val="7"/>
  </w:num>
  <w:num w:numId="2">
    <w:abstractNumId w:val="2"/>
  </w:num>
  <w:num w:numId="3">
    <w:abstractNumId w:val="1"/>
  </w:num>
  <w:num w:numId="4">
    <w:abstractNumId w:val="3"/>
  </w:num>
  <w:num w:numId="5">
    <w:abstractNumId w:val="6"/>
  </w:num>
  <w:num w:numId="6">
    <w:abstractNumId w:val="9"/>
  </w:num>
  <w:num w:numId="7">
    <w:abstractNumId w:val="5"/>
  </w:num>
  <w:num w:numId="8">
    <w:abstractNumId w:val="8"/>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E25A0"/>
    <w:rsid w:val="1F3646F6"/>
    <w:rsid w:val="26B26ECC"/>
    <w:rsid w:val="36875285"/>
    <w:rsid w:val="48931C1D"/>
    <w:rsid w:val="555A145E"/>
    <w:rsid w:val="64AC2938"/>
    <w:rsid w:val="69447C14"/>
    <w:rsid w:val="774E25A0"/>
    <w:rsid w:val="793451F2"/>
    <w:rsid w:val="797709EF"/>
    <w:rsid w:val="7B050F64"/>
    <w:rsid w:val="7CF4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5">
    <w:name w:val="List Paragraph"/>
    <w:basedOn w:val="1"/>
    <w:qFormat/>
    <w:uiPriority w:val="34"/>
    <w:pPr>
      <w:ind w:firstLine="420" w:firstLineChars="200"/>
    </w:pPr>
  </w:style>
  <w:style w:type="character" w:customStyle="1" w:styleId="6">
    <w:name w:val="font31"/>
    <w:basedOn w:val="3"/>
    <w:qFormat/>
    <w:uiPriority w:val="0"/>
    <w:rPr>
      <w:rFonts w:hint="eastAsia" w:ascii="宋体" w:hAnsi="宋体" w:eastAsia="宋体" w:cs="宋体"/>
      <w:color w:val="000000"/>
      <w:sz w:val="18"/>
      <w:szCs w:val="18"/>
      <w:u w:val="none"/>
    </w:rPr>
  </w:style>
  <w:style w:type="character" w:customStyle="1" w:styleId="7">
    <w:name w:val="font81"/>
    <w:basedOn w:val="3"/>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1</Company>
  <Pages>1</Pages>
  <Words>0</Words>
  <Characters>0</Characters>
  <Lines>0</Lines>
  <Paragraphs>0</Paragraphs>
  <TotalTime>355</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2024-07-22T02:18:00Z</dcterms:created>
  <dc:creator>lenovo</dc:creator>
  <cp:lastModifiedBy>lenovo</cp:lastModifiedBy>
  <dcterms:modified xsi:type="dcterms:W3CDTF">2024-09-11T08:56:53Z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624C63C354F542BCB3852EFCBE907739</vt:lpwstr>
  </property>
</Properties>
</file>