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EDB0C">
      <w:pPr>
        <w:pStyle w:val="14"/>
        <w:jc w:val="center"/>
        <w:rPr>
          <w:sz w:val="56"/>
          <w:szCs w:val="56"/>
        </w:rPr>
      </w:pPr>
    </w:p>
    <w:p w14:paraId="59A92146">
      <w:pPr>
        <w:pStyle w:val="14"/>
        <w:jc w:val="center"/>
        <w:rPr>
          <w:sz w:val="56"/>
          <w:szCs w:val="56"/>
        </w:rPr>
      </w:pPr>
    </w:p>
    <w:p w14:paraId="0302CA6B">
      <w:pPr>
        <w:pStyle w:val="14"/>
        <w:jc w:val="center"/>
        <w:rPr>
          <w:sz w:val="84"/>
          <w:szCs w:val="84"/>
        </w:rPr>
      </w:pPr>
    </w:p>
    <w:p w14:paraId="6D4EBA22">
      <w:pPr>
        <w:pStyle w:val="14"/>
        <w:jc w:val="center"/>
        <w:rPr>
          <w:sz w:val="84"/>
          <w:szCs w:val="84"/>
        </w:rPr>
      </w:pPr>
    </w:p>
    <w:p w14:paraId="4913ABBA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0AC84234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岳阳市公安局君山分局</w:t>
      </w:r>
    </w:p>
    <w:p w14:paraId="62261706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5CAB78CA">
      <w:pPr>
        <w:pStyle w:val="14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07BDA661">
      <w:pPr>
        <w:pStyle w:val="14"/>
        <w:jc w:val="center"/>
        <w:rPr>
          <w:sz w:val="56"/>
          <w:szCs w:val="56"/>
        </w:rPr>
      </w:pPr>
    </w:p>
    <w:p w14:paraId="0885B80C">
      <w:pPr>
        <w:pStyle w:val="14"/>
        <w:jc w:val="center"/>
        <w:rPr>
          <w:sz w:val="56"/>
          <w:szCs w:val="56"/>
        </w:rPr>
      </w:pPr>
    </w:p>
    <w:p w14:paraId="52ABA781">
      <w:pPr>
        <w:pStyle w:val="14"/>
        <w:jc w:val="center"/>
        <w:rPr>
          <w:sz w:val="56"/>
          <w:szCs w:val="56"/>
        </w:rPr>
      </w:pPr>
    </w:p>
    <w:p w14:paraId="468B21DC">
      <w:pPr>
        <w:pStyle w:val="14"/>
        <w:jc w:val="center"/>
        <w:rPr>
          <w:sz w:val="32"/>
          <w:szCs w:val="32"/>
        </w:rPr>
      </w:pPr>
    </w:p>
    <w:p w14:paraId="5FE52D0E">
      <w:pPr>
        <w:pStyle w:val="14"/>
        <w:jc w:val="center"/>
        <w:rPr>
          <w:sz w:val="32"/>
          <w:szCs w:val="32"/>
        </w:rPr>
      </w:pPr>
    </w:p>
    <w:p w14:paraId="74E48892">
      <w:pPr>
        <w:pStyle w:val="14"/>
        <w:jc w:val="center"/>
        <w:rPr>
          <w:sz w:val="32"/>
          <w:szCs w:val="32"/>
        </w:rPr>
      </w:pPr>
    </w:p>
    <w:p w14:paraId="4068E2C4">
      <w:pPr>
        <w:pStyle w:val="14"/>
        <w:spacing w:line="500" w:lineRule="exact"/>
        <w:jc w:val="both"/>
        <w:rPr>
          <w:b/>
          <w:sz w:val="36"/>
          <w:szCs w:val="28"/>
        </w:rPr>
      </w:pPr>
    </w:p>
    <w:p w14:paraId="7BBC54F8">
      <w:pPr>
        <w:pStyle w:val="14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52468A3C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岳阳市公安局君山分局</w:t>
      </w:r>
    </w:p>
    <w:p w14:paraId="2902AABE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4CC5E713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 w14:paraId="2E8BB70A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2878C1CF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39A81C07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2A3C2E1E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7E438EB5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6E4D0036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309CE6D7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4A419C68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28687B31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12F8F64D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4E3A754E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76D01A6B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4C230DB5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285125B8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59D6843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65EB8715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360EB81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0D39C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16F2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 w14:paraId="5D17E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70A2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3650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58F24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61A8D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77BF63F">
      <w:pPr>
        <w:pStyle w:val="14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 w14:paraId="1B418104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3727F934">
      <w:pPr>
        <w:pStyle w:val="14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18A5135E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7353A6B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B9D8441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3B4873CC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9497B70">
      <w:pPr>
        <w:pStyle w:val="14"/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sz w:val="84"/>
          <w:szCs w:val="84"/>
          <w:lang w:eastAsia="zh-CN"/>
        </w:rPr>
        <w:t>岳阳市公安局</w:t>
      </w:r>
    </w:p>
    <w:p w14:paraId="4BA7BB3D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/>
          <w:sz w:val="84"/>
          <w:szCs w:val="84"/>
          <w:lang w:eastAsia="zh-CN"/>
        </w:rPr>
        <w:t>君山分局</w:t>
      </w:r>
      <w:r>
        <w:rPr>
          <w:rFonts w:hint="eastAsia"/>
          <w:sz w:val="84"/>
          <w:szCs w:val="84"/>
        </w:rPr>
        <w:t>单位概况</w:t>
      </w:r>
    </w:p>
    <w:p w14:paraId="2099A986">
      <w:pPr>
        <w:pStyle w:val="8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047B932"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3E627F1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B36B1D6">
      <w:pPr>
        <w:pStyle w:val="4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3C73DAC">
      <w:pPr>
        <w:pStyle w:val="15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564CDD69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（一）预防制止和侦查违法犯罪活动；</w:t>
      </w:r>
    </w:p>
    <w:p w14:paraId="7BBB8B5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（二）维护社会治安秩序，制止危害社会治安秩序的行为；</w:t>
      </w:r>
    </w:p>
    <w:p w14:paraId="3309C48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（三）组织实施消防工作，实行消防监督；</w:t>
      </w:r>
    </w:p>
    <w:p w14:paraId="67D2ED53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（四）管理枪支弹药、控制刀具和易燃易爆、剧毒、放射等危险物品；对法律、法规指定的特种行业进行管理；</w:t>
      </w:r>
    </w:p>
    <w:p w14:paraId="6645100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（五）警卫国家规定的特定人员，守卫重要的场所和设施；管理集会、游行、示威活动；</w:t>
      </w:r>
    </w:p>
    <w:p w14:paraId="29CEF847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（六）管理户政、国籍、出入境事务和外国人在中国境内居留、旅行的有关事务；</w:t>
      </w:r>
    </w:p>
    <w:p w14:paraId="483FCF8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（七）维护国边境地区的治安秩序；管理监督计算机信息系统的安全保卫工作；</w:t>
      </w:r>
    </w:p>
    <w:p w14:paraId="2C08A42B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（八）指导监督国家机关、社会团体、企业事业组织和重点建设工程的治安保卫工作，指导治安保卫委员会等群众性组织的治安防范工作；</w:t>
      </w:r>
    </w:p>
    <w:p w14:paraId="613A2AE5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（九）法律法规规定的其他职责。</w:t>
      </w:r>
    </w:p>
    <w:p w14:paraId="63973CC1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4A38840E"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</w:p>
    <w:p w14:paraId="268C31DE">
      <w:pPr>
        <w:widowControl/>
        <w:spacing w:line="600" w:lineRule="exact"/>
        <w:ind w:firstLine="640" w:firstLineChars="200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岳阳市公安局君山分局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单位内设机构包括：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政工室、警务保障室、纪委检查室、办公室、法制大队、国保大队、刑事侦查大队、经侦大队、治安大队、拘留所等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16个内设机构，下属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林角佬派出所、君山派出所、柳林洲派出所、广兴洲派出所、许市派出所、采桑湖派出所、钱粮湖派出所、良心堡派出所等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8个派出所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663DD316">
      <w:pPr>
        <w:widowControl/>
        <w:numPr>
          <w:ilvl w:val="0"/>
          <w:numId w:val="2"/>
        </w:numPr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 xml:space="preserve">  </w:t>
      </w:r>
    </w:p>
    <w:p w14:paraId="79F534E8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本单位无独立核算的下属单位，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2023年度部门决算汇总公开单位仅包括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岳阳市公安局君山分局本级。</w:t>
      </w:r>
    </w:p>
    <w:p w14:paraId="307CC893">
      <w:pPr>
        <w:pStyle w:val="4"/>
      </w:pPr>
    </w:p>
    <w:p w14:paraId="67336D9B"/>
    <w:p w14:paraId="662EAA66">
      <w:pPr>
        <w:pStyle w:val="8"/>
      </w:pPr>
    </w:p>
    <w:p w14:paraId="3777BDB2">
      <w:pPr>
        <w:pStyle w:val="4"/>
      </w:pPr>
    </w:p>
    <w:p w14:paraId="19FDEBE2"/>
    <w:p w14:paraId="40C5B802">
      <w:pPr>
        <w:pStyle w:val="8"/>
      </w:pPr>
    </w:p>
    <w:p w14:paraId="3F6F8A4B">
      <w:pPr>
        <w:pStyle w:val="4"/>
      </w:pPr>
    </w:p>
    <w:p w14:paraId="07308B9A"/>
    <w:p w14:paraId="75C23403">
      <w:pPr>
        <w:pStyle w:val="8"/>
      </w:pPr>
    </w:p>
    <w:p w14:paraId="41CAEC01">
      <w:pPr>
        <w:pStyle w:val="4"/>
      </w:pPr>
    </w:p>
    <w:p w14:paraId="2F015184"/>
    <w:p w14:paraId="0FE35C6E">
      <w:pPr>
        <w:pStyle w:val="8"/>
      </w:pPr>
    </w:p>
    <w:p w14:paraId="32931A43">
      <w:pPr>
        <w:pStyle w:val="4"/>
      </w:pPr>
    </w:p>
    <w:p w14:paraId="07DE0C74">
      <w:pPr>
        <w:pStyle w:val="14"/>
        <w:jc w:val="both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746F25F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70358FB6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FEDB16E">
      <w:pPr>
        <w:pStyle w:val="14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5259A835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25A0D8AE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3E47848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9CC9D52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3E95ADC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FAF25F6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17026A2C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37DC4392">
      <w:pPr>
        <w:pStyle w:val="14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2A24EC18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4DC2C54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DA2753F">
      <w:pPr>
        <w:pStyle w:val="14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F220E2F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243797AA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77D3262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90980D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EE25D3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61A48D2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03342C51">
      <w:pPr>
        <w:pStyle w:val="14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289DB428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4A15DDE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3364F7F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6350.18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1248.52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16.43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公务交通补助未纳入预算中，基建项目支出减少。</w:t>
      </w:r>
    </w:p>
    <w:p w14:paraId="1D2FB59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1FE76C0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年度收入合计6350.18万元，其中：财政拨款收入4978.74万元，占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78.40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%；其他收入1371.44万元，占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21.6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5123A8A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1E89CE4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年度支出合计6350.19万元，其中：基本支出2543.14万元，占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40.05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%；项目支出3807.05万元，占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59.95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3E5B0FC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F471CF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年度财政拨款收、支总计4978.74万元，与上年相比，减少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774.73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公务交通补助未纳入预算，基建项目支出减少</w:t>
      </w:r>
      <w:r>
        <w:rPr>
          <w:rFonts w:hint="eastAsia" w:ascii="宋体" w:hAnsi="Times New Roman" w:eastAsia="宋体" w:cs="宋体"/>
          <w:sz w:val="32"/>
          <w:szCs w:val="32"/>
          <w:lang w:eastAsia="zh-CN"/>
        </w:rPr>
        <w:t>。</w:t>
      </w:r>
    </w:p>
    <w:p w14:paraId="621FA10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092449F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6A6FE93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年度财政拨款支出4978.74万元，占本年支出合计的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78.40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774.73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13.47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%，主要是因主要是因为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公务交通补助未纳入预算，基建项目支出减少</w:t>
      </w:r>
      <w:r>
        <w:rPr>
          <w:rFonts w:hint="eastAsia" w:ascii="宋体" w:hAnsi="Times New Roman" w:eastAsia="宋体" w:cs="宋体"/>
          <w:sz w:val="32"/>
          <w:szCs w:val="32"/>
          <w:lang w:eastAsia="zh-CN"/>
        </w:rPr>
        <w:t>。</w:t>
      </w:r>
    </w:p>
    <w:p w14:paraId="571097D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6AB85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5912EA0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年度财政拨款支出4978.74万元，主要用于以下方面：公共安全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支出4664.39万元，占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93.69</w:t>
      </w:r>
      <w:r>
        <w:rPr>
          <w:rFonts w:hint="eastAsia" w:ascii="仿宋_GB2312" w:hAnsi="仿宋_GB2312" w:eastAsia="仿宋_GB2312" w:cs="仿宋_GB2312"/>
          <w:sz w:val="32"/>
          <w:szCs w:val="32"/>
        </w:rPr>
        <w:t>%；文化旅游体育与传媒（类）支出1.42万元，占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0.03</w:t>
      </w:r>
      <w:r>
        <w:rPr>
          <w:rFonts w:hint="eastAsia" w:ascii="仿宋_GB2312" w:hAnsi="仿宋_GB2312" w:eastAsia="仿宋_GB2312" w:cs="仿宋_GB2312"/>
          <w:sz w:val="32"/>
          <w:szCs w:val="32"/>
        </w:rPr>
        <w:t>%;社会保障和就业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（类）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支出160.78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3.23%；住房保障（类）支出152.15万元，占3.05%。</w:t>
      </w:r>
    </w:p>
    <w:p w14:paraId="6D3F727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6F7FED9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2023年度财政拨款支出年初预算数为2639.32万元，支出决算数为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4978.74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万元，完成年初预算的188.64%，其中：</w:t>
      </w:r>
    </w:p>
    <w:p w14:paraId="4003334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1、公共安全支出（类）公安（款）行政运行（项）。</w:t>
      </w:r>
    </w:p>
    <w:p w14:paraId="0D7826F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年初预算为1874.24元，支出决算为3166.09万元，完成年初预算的168.93%，决算数大于年初预算数的主要原因是：人员工资调标、医保铺底、公务交通。</w:t>
      </w:r>
    </w:p>
    <w:p w14:paraId="5AAAB22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2、公共安全支出（类）公安（款）一般行政管理事务（项）。</w:t>
      </w:r>
    </w:p>
    <w:p w14:paraId="4A66B21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年初预算为455.46万元，支出决算为1324.78万元，完成年初预算的290.87%，决算数大于年初预算数的主要原因是：财政追加在职民警和退休人员年终先进单位奖金、基础绩效奖，转移支付公安装备的投入等。</w:t>
      </w:r>
    </w:p>
    <w:p w14:paraId="54EF31D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公安安全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（类）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（款）执法办案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（项）。</w:t>
      </w:r>
    </w:p>
    <w:p w14:paraId="3F2A49E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支出决算为7.55元，年初预算为0万元，决算数大于年初预算数的主要原因是：办案执法费用增加。</w:t>
      </w:r>
    </w:p>
    <w:p w14:paraId="5889A20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4、公安安全（类）公安（款）其他公安支出（项）</w:t>
      </w:r>
    </w:p>
    <w:p w14:paraId="1FC0C9A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支出决算为165.97元，年初预算为0万元，决算数大于年初预算数的主要原因是：非税收入超收返回的办案经费及财政追加公安工作经费。</w:t>
      </w:r>
    </w:p>
    <w:p w14:paraId="20ED82DE"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200" w:firstLine="320" w:firstLineChars="1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文化旅游体育与传媒支出（类）新闻出版电影（款）其他新闻出版电影支出（项）</w:t>
      </w:r>
    </w:p>
    <w:p w14:paraId="4669B2F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支出决算为1.42元，年初预算为0万元，决算数大于年初预算数的主要原因是：文明城市创建和反诈宣传经费增加。</w:t>
      </w:r>
    </w:p>
    <w:p w14:paraId="0EF718B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6、社会保障和就业支出（类）行政事业单位养老支出（款）机关事业单位基本养老保险缴费支出（项）</w:t>
      </w:r>
    </w:p>
    <w:p w14:paraId="522ACCE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年初预算为157.47万元，支出决算为157.47元，完成年初预算的100%，决算数等于年初预算数的主要原因是：支出按年初预算精准落实。</w:t>
      </w:r>
    </w:p>
    <w:p w14:paraId="0A56143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7、社会保障和就业支出（类）抚恤（款）其他优抚支出（项）</w:t>
      </w:r>
    </w:p>
    <w:p w14:paraId="12366EF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支出决算为3.31万元，年初预算安排0万元，决算数大于年初预算数的主要原因是：抚恤金支出。</w:t>
      </w:r>
    </w:p>
    <w:p w14:paraId="686A585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8、住房保障支出（类）住房保障支出（款）住房公积金（项）</w:t>
      </w:r>
    </w:p>
    <w:p w14:paraId="602562E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年初预算为152.15万元，支出决算为152.15元，完成年初预算的100%，决算数等于年初预算数的主要原因是：支出按年初预算精准落实。</w:t>
      </w:r>
    </w:p>
    <w:p w14:paraId="3EE6F74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7A9977A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年度财政拨款基本支出2543.14万元，其中：</w:t>
      </w:r>
    </w:p>
    <w:p w14:paraId="1E48CFA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2150.53万元，占基本支出的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84.56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主要包括基本工资、津贴补贴、奖金、伙食补助费、机关事业单位基本养老保险缴费、职业年金缴费、职工基本医疗保险缴费、其他社会保障缴费、对个人和家庭的补助。</w:t>
      </w:r>
    </w:p>
    <w:p w14:paraId="207C273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392.61万元，占基本支出的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15.44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主要包括办公费、印刷费、咨询费、手续费、水费、电费、邮电费、差旅费、培训费、公务接待费、劳务费、工会经费、福利费、公务用车运行维护费、其他交通费用、其他商品和服务支出。</w:t>
      </w:r>
    </w:p>
    <w:p w14:paraId="37F7B07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7AF4D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3DB1E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4FC84E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2023年度国有资本经营预算财政拨款收入0万元；年初结转和结余0万；支出0万元；年末结转和结余0万元。</w:t>
      </w:r>
    </w:p>
    <w:p w14:paraId="049B5E4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5A09384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 w14:paraId="2B872E3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“三公”经费财政拨款支出预算为171.41万元，支出决算为171.41万元，完成预算的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预算数的主要原因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10.24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增长的主要原因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根据省公安厅要求各派出所新增“一所一队”执法执勤用车8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辆。其中：</w:t>
      </w:r>
    </w:p>
    <w:p w14:paraId="5480AB6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因公出国（境）费支出预算为0万元，支出决算为0万元，决算数等于预算数，主要原因是我单位严格按预算执行决算；与上年一致，无增减变动，主要原因是未安排因公出国（境）活动。</w:t>
      </w:r>
    </w:p>
    <w:p w14:paraId="5A500B3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决算数等于预算数，主要原因是我单位严格按预算执行决算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，与上年相比减少</w:t>
      </w:r>
      <w:r>
        <w:rPr>
          <w:rFonts w:hint="eastAsia" w:ascii="Times New Roman" w:hAnsi="Times New Roman" w:eastAsia="仿宋_GB2312"/>
          <w:sz w:val="32"/>
          <w:szCs w:val="32"/>
        </w:rPr>
        <w:t>0.78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%,减少的主要原因是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我单位2023年度无公务接待费支出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748ED2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公务用车购置费支出预算为104.26万元，支出决算为104.26万元，完成预算的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持平，严格按预算执行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19.67%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根据省公安厅要求各派出所新增“一所一队”执法执勤用车8</w:t>
      </w:r>
      <w:r>
        <w:rPr>
          <w:rFonts w:hint="eastAsia" w:ascii="仿宋_GB2312" w:hAnsi="仿宋_GB2312" w:eastAsia="仿宋_GB2312" w:cs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727A5D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公务用车运行维护费支出预算为67.15万元，支出决算为67.15万元，完成预算的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仿宋_GB2312"/>
          <w:sz w:val="32"/>
          <w:szCs w:val="32"/>
        </w:rPr>
        <w:t>预算数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持平，</w:t>
      </w:r>
      <w:r>
        <w:rPr>
          <w:rFonts w:hint="eastAsia" w:ascii="Times New Roman" w:hAnsi="Times New Roman" w:eastAsia="仿宋_GB2312"/>
          <w:sz w:val="32"/>
          <w:szCs w:val="32"/>
        </w:rPr>
        <w:t>加强公车管理严控费用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，与上年相比减少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0.64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减少的主要原因是</w:t>
      </w:r>
      <w:r>
        <w:rPr>
          <w:rFonts w:hint="eastAsia" w:ascii="Times New Roman" w:hAnsi="Times New Roman" w:eastAsia="仿宋_GB2312"/>
          <w:sz w:val="32"/>
          <w:szCs w:val="32"/>
        </w:rPr>
        <w:t>加强公车管理严控费用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63A3E02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 w14:paraId="3A99575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%,公务用车购置费及运行维护费支出决算171.41万元，占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 w14:paraId="666DAF40">
      <w:pPr>
        <w:pStyle w:val="14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全年安排因公出国（境）团组0个，累计0人次，我单位202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 xml:space="preserve">年度无因公出国（境）费支出。 </w:t>
      </w:r>
    </w:p>
    <w:p w14:paraId="16906EC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我单位2023年度无公务接待费支出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5E4A3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3、公务用车购置费及运行维护费支出决算为171.41万元，其中：公务用车购置费104.26万元，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林角佬派出所、柳林洲派出所、广兴洲派出所、许市派出所、采桑湖派出所、钱粮湖派出所、良心堡派出所、钱粮湖派出所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“一所一队”执法执勤</w:t>
      </w:r>
      <w:r>
        <w:rPr>
          <w:rFonts w:hint="eastAsia" w:ascii="Times New Roman" w:hAnsi="Times New Roman" w:eastAsia="仿宋_GB2312"/>
          <w:sz w:val="32"/>
          <w:szCs w:val="32"/>
        </w:rPr>
        <w:t>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公务用车运行维护费67.15万元，主要是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公务用车燃料、保险、年检、车辆维修维护等费用</w:t>
      </w:r>
      <w:r>
        <w:rPr>
          <w:rFonts w:hint="eastAsia" w:ascii="Times New Roman" w:hAnsi="Times New Roman" w:eastAsia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 w14:paraId="0B83F49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26C83B37">
      <w:pPr>
        <w:pStyle w:val="14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年度机关运行经费支出392.61万元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比年初预算数增加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119.89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43.96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公务交通补助未纳入预算。</w:t>
      </w:r>
    </w:p>
    <w:p w14:paraId="0AB4246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、一般性支出情况说明</w:t>
      </w:r>
    </w:p>
    <w:p w14:paraId="678C636F">
      <w:pPr>
        <w:pStyle w:val="14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0.5万元，支出决算为0.29万元，完成年初预算的58%。用于召开学习习近平新时代中国特色社会主义思想教育主题会、扫黑除恶警示教育和以案促改主题会、“夏季行动”和“平安城市”主题会，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人，内容为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学习习近平新时代中国特色社会主义思想教育内容、扫黑除恶警示教育和以案促改、“夏季行动”和“平安城市”专题会议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2A043A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培训费年初预算3万元，支出决算为3.3万元，完成年初预算的110%。用于开展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开展新警培训、人民警察晋衔培训、警察专业技术培训，人数58人，内容为警察职业技能、心理危机干预、舆论引导等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5503D1A6">
      <w:pPr>
        <w:pStyle w:val="14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年初预算0万元，支出决算为0万元，</w:t>
      </w:r>
      <w:r>
        <w:rPr>
          <w:rFonts w:hint="eastAsia" w:ascii="Times New Roman" w:hAnsi="Times New Roman" w:eastAsia="仿宋_GB2312"/>
          <w:sz w:val="32"/>
          <w:szCs w:val="32"/>
        </w:rPr>
        <w:t>主要是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本单位无举办节庆、晚会、论坛、赛事等活动的预算和支出决算数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466A314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24B2CA1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年度政府采购支出总额1635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元，其中：政府采购货物支出494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53万元、政府采购工程支出592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63万元、政府采购服务支出548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万元。授予中小企业合同金额1635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1043.22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63.77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30.23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36.23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33.54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764B759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0D76F9A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 w14:paraId="6C06B04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 w14:paraId="4DD0D36D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 w14:paraId="70CBF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 w14:paraId="1A1E1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4978.74万元，政府性基金预算支出0万元，国有资本经营预算支出0万元。从评价情况来看，整体支出绩效评价中，2023年整体支出6350.18万元，其中：基本支出2543.14万元，项目支出3807.05万元，本单位整体支出绩效自评综合评分99分，评价结果等次为优。</w:t>
      </w:r>
    </w:p>
    <w:p w14:paraId="2E998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4个，共涉及资金518.11万元，占一般公共预算项目支出总额的21.27%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99分，评价结果等次为优。</w:t>
      </w:r>
    </w:p>
    <w:p w14:paraId="6C50EDC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4DD65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根据年初设定的绩效目标，绩效自评得分为99.32 分。全年预算数为6809.59万元，执行数为6347.82万元，完成预算的93.22%。绩效目标完成情况：一是维护全区治安稳定，被评为全市公安机关扫黑除恶、打击治理电信网络诈骗犯罪、执法规范化建设、云端打击主战模式、缉毒执法、警务评议6个方面工作成绩突出单位工作；二是开展了一系列打击违反犯罪、禁毒等专项行动，有效地打击了各类违法犯罪活动，维护了全区治安大局稳定；三是打牢根基、助力发展，进一步夯实基层基础“金字塔”，林角佬派出所获评全市“枫桥式派出所”；四是完成对派出所和执法单位14台公务用车的全面更换。</w:t>
      </w:r>
    </w:p>
    <w:p w14:paraId="4BA856B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501A4E87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5" w:lineRule="atLeast"/>
        <w:ind w:left="0" w:right="0" w:firstLine="645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（一）我们的工作距离广大民辅警的需求还有较大上升空间，服务意识还有待进一步加强。</w:t>
      </w:r>
    </w:p>
    <w:p w14:paraId="7736D77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5" w:lineRule="atLeast"/>
        <w:ind w:left="0" w:right="0" w:firstLine="645"/>
        <w:jc w:val="both"/>
        <w:textAlignment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（二）创新思路还有很大的局限性，还停留在自己的一亩三分地上，远没有达到前瞻性，导致工作还有一定的被动性。</w:t>
      </w:r>
    </w:p>
    <w:p w14:paraId="45DBE4A4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5" w:lineRule="atLeast"/>
        <w:ind w:left="0" w:right="0" w:firstLine="645"/>
        <w:jc w:val="both"/>
        <w:textAlignment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（三）争资争项还有很大欠缺，争资渠道不多，争项总有跑不动的感觉，协调能力还有待进一步加强。</w:t>
      </w:r>
    </w:p>
    <w:p w14:paraId="192837E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152954C1">
      <w:pPr>
        <w:pStyle w:val="14"/>
        <w:jc w:val="both"/>
        <w:rPr>
          <w:sz w:val="72"/>
          <w:szCs w:val="72"/>
        </w:rPr>
      </w:pPr>
    </w:p>
    <w:p w14:paraId="1A3E854A">
      <w:pPr>
        <w:pStyle w:val="14"/>
        <w:jc w:val="center"/>
        <w:rPr>
          <w:sz w:val="72"/>
          <w:szCs w:val="72"/>
        </w:rPr>
      </w:pPr>
    </w:p>
    <w:p w14:paraId="585F6E1D">
      <w:pPr>
        <w:pStyle w:val="14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05198A2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50AA1CD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8E39580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1EED3248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1A739BAA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6ABFB5E5">
      <w:pPr>
        <w:pStyle w:val="8"/>
      </w:pPr>
    </w:p>
    <w:p w14:paraId="344DBB70">
      <w:pPr>
        <w:pStyle w:val="4"/>
      </w:pPr>
    </w:p>
    <w:p w14:paraId="6EA4345B"/>
    <w:p w14:paraId="5E319975">
      <w:pPr>
        <w:pStyle w:val="8"/>
      </w:pPr>
    </w:p>
    <w:p w14:paraId="20AF1E93">
      <w:pPr>
        <w:pStyle w:val="4"/>
      </w:pPr>
    </w:p>
    <w:p w14:paraId="27E79D6F"/>
    <w:p w14:paraId="13AE4193">
      <w:pPr>
        <w:pStyle w:val="8"/>
      </w:pPr>
    </w:p>
    <w:p w14:paraId="23482206">
      <w:pPr>
        <w:pStyle w:val="4"/>
      </w:pPr>
    </w:p>
    <w:p w14:paraId="4F7C9312"/>
    <w:p w14:paraId="2FC88B57">
      <w:pPr>
        <w:pStyle w:val="8"/>
      </w:pPr>
    </w:p>
    <w:p w14:paraId="6DFF81EB">
      <w:pPr>
        <w:pStyle w:val="4"/>
      </w:pPr>
    </w:p>
    <w:p w14:paraId="57FC9D6C"/>
    <w:p w14:paraId="3A6C3114">
      <w:pPr>
        <w:pStyle w:val="8"/>
      </w:pPr>
    </w:p>
    <w:p w14:paraId="156BD31A">
      <w:pPr>
        <w:pStyle w:val="4"/>
      </w:pPr>
    </w:p>
    <w:p w14:paraId="080104E6"/>
    <w:p w14:paraId="571E22BD">
      <w:pPr>
        <w:pStyle w:val="8"/>
      </w:pPr>
    </w:p>
    <w:p w14:paraId="61B2AFEE">
      <w:pPr>
        <w:pStyle w:val="4"/>
      </w:pPr>
    </w:p>
    <w:p w14:paraId="72447664"/>
    <w:p w14:paraId="590E55C5">
      <w:pPr>
        <w:pStyle w:val="8"/>
      </w:pPr>
    </w:p>
    <w:p w14:paraId="5CFA3B53">
      <w:pPr>
        <w:pStyle w:val="4"/>
      </w:pPr>
    </w:p>
    <w:p w14:paraId="2B9AD5D4">
      <w:pPr>
        <w:pStyle w:val="8"/>
      </w:pPr>
    </w:p>
    <w:p w14:paraId="5D3965C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057695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163626AC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33E70037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20D21121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三、非税收入：指除了缴纳税收以外，由各级政府、国家机关等社会团体利用政府的权力、信誉、国家资源、国有资产或提供特定公共服务、准公共服务取得的财政性资金。政府非税收入管理范围主要包括：政府性基金、彩票公益金、国有资源有偿使用收入、国有资产有偿使用收入、国有资本经营收益、罚没收入等。</w:t>
      </w:r>
    </w:p>
    <w:p w14:paraId="004133F5"/>
    <w:p w14:paraId="294D2001">
      <w:pPr>
        <w:pStyle w:val="8"/>
      </w:pPr>
    </w:p>
    <w:p w14:paraId="259B1D60">
      <w:pPr>
        <w:pStyle w:val="4"/>
      </w:pPr>
    </w:p>
    <w:p w14:paraId="6DE96740"/>
    <w:p w14:paraId="121828E3">
      <w:pPr>
        <w:pStyle w:val="8"/>
      </w:pPr>
    </w:p>
    <w:p w14:paraId="513E96C7">
      <w:pPr>
        <w:pStyle w:val="4"/>
      </w:pPr>
    </w:p>
    <w:p w14:paraId="71B77C1F"/>
    <w:p w14:paraId="2EEE8C79">
      <w:pPr>
        <w:pStyle w:val="8"/>
      </w:pPr>
    </w:p>
    <w:p w14:paraId="00B2B5E2">
      <w:pPr>
        <w:pStyle w:val="4"/>
      </w:pPr>
    </w:p>
    <w:p w14:paraId="16612CAC"/>
    <w:p w14:paraId="0ADC14EF">
      <w:pPr>
        <w:pStyle w:val="8"/>
      </w:pPr>
    </w:p>
    <w:p w14:paraId="138446C9">
      <w:pPr>
        <w:pStyle w:val="4"/>
      </w:pPr>
    </w:p>
    <w:p w14:paraId="38569B3A"/>
    <w:p w14:paraId="171097F7">
      <w:pPr>
        <w:pStyle w:val="8"/>
      </w:pPr>
    </w:p>
    <w:p w14:paraId="4550443C">
      <w:pPr>
        <w:pStyle w:val="4"/>
      </w:pPr>
    </w:p>
    <w:p w14:paraId="118E9DA2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736919E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8DFEC48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D3AAC05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8A2E46E">
      <w:pPr>
        <w:pStyle w:val="14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2C8D667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010FC20F">
      <w:pPr>
        <w:pStyle w:val="14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55604BE9">
      <w:pPr>
        <w:pStyle w:val="14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A38F30F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0F51F5AF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 w14:paraId="5B4A3282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  <w:bookmarkStart w:id="0" w:name="_GoBack"/>
      <w:bookmarkEnd w:id="0"/>
    </w:p>
    <w:p w14:paraId="71ADCB1D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8B217A"/>
    <w:multiLevelType w:val="singleLevel"/>
    <w:tmpl w:val="4D8B21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YjhhYjE1MTNlYjg0MTJlMzgxN2U1NjI5NTliNzU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2D7069C"/>
    <w:rsid w:val="059958AD"/>
    <w:rsid w:val="06C857E7"/>
    <w:rsid w:val="08C24A73"/>
    <w:rsid w:val="0CA0386A"/>
    <w:rsid w:val="11722ED6"/>
    <w:rsid w:val="12583BA5"/>
    <w:rsid w:val="13BA5B9C"/>
    <w:rsid w:val="17430EC2"/>
    <w:rsid w:val="1ABC6A05"/>
    <w:rsid w:val="1D97DEFF"/>
    <w:rsid w:val="1DFF72E5"/>
    <w:rsid w:val="1EFC6F07"/>
    <w:rsid w:val="1F0527A6"/>
    <w:rsid w:val="22AC03C2"/>
    <w:rsid w:val="24570714"/>
    <w:rsid w:val="2FDF85B8"/>
    <w:rsid w:val="2FFFEE04"/>
    <w:rsid w:val="30B16D1F"/>
    <w:rsid w:val="31C95635"/>
    <w:rsid w:val="34DF85B0"/>
    <w:rsid w:val="391443C5"/>
    <w:rsid w:val="3A304552"/>
    <w:rsid w:val="3B8F36BC"/>
    <w:rsid w:val="40EF03B8"/>
    <w:rsid w:val="491FF225"/>
    <w:rsid w:val="4FFD214C"/>
    <w:rsid w:val="5352765A"/>
    <w:rsid w:val="5777D4F5"/>
    <w:rsid w:val="59DD8326"/>
    <w:rsid w:val="5DEF592A"/>
    <w:rsid w:val="5FC6BB1E"/>
    <w:rsid w:val="5FF720F1"/>
    <w:rsid w:val="620170E8"/>
    <w:rsid w:val="67FF5C0B"/>
    <w:rsid w:val="6BAA4A2F"/>
    <w:rsid w:val="6EFC0924"/>
    <w:rsid w:val="6FB74722"/>
    <w:rsid w:val="6FEF8B7E"/>
    <w:rsid w:val="71A6591B"/>
    <w:rsid w:val="737D59BA"/>
    <w:rsid w:val="737F32B1"/>
    <w:rsid w:val="77C37683"/>
    <w:rsid w:val="79FF515B"/>
    <w:rsid w:val="7D825EB4"/>
    <w:rsid w:val="7DD61690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2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17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5820</Words>
  <Characters>6438</Characters>
  <Lines>63</Lines>
  <Paragraphs>18</Paragraphs>
  <TotalTime>4</TotalTime>
  <ScaleCrop>false</ScaleCrop>
  <LinksUpToDate>false</LinksUpToDate>
  <CharactersWithSpaces>6459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Administrator</cp:lastModifiedBy>
  <cp:lastPrinted>2024-08-08T10:20:00Z</cp:lastPrinted>
  <dcterms:modified xsi:type="dcterms:W3CDTF">2024-09-24T01:34:12Z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98623D6660B449428EB8E073C6C952EA</vt:lpwstr>
  </property>
</Properties>
</file>